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E5" w:rsidRPr="00DE28E5" w:rsidRDefault="00DE28E5" w:rsidP="00DE28E5">
      <w:pPr>
        <w:spacing w:before="100" w:beforeAutospacing="1" w:after="265" w:afterAutospacing="1" w:line="360" w:lineRule="auto"/>
        <w:jc w:val="both"/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</w:pPr>
      <w:r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  <w:t>L</w:t>
      </w:r>
      <w:r w:rsidRPr="00DE28E5"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  <w:t xml:space="preserve">'articolo 72, paragrafo 1, lettera c), della direttiva 2014/24 / UE, disposizione segnalata per le vie brevi dalla Commissione europea, prevede che sono legittime tali modifiche senza ricorrere ad una gara se siano soddisfatte tutte le seguenti condizioni: </w:t>
      </w:r>
    </w:p>
    <w:p w:rsidR="00DE28E5" w:rsidRPr="00DE28E5" w:rsidRDefault="00DE28E5" w:rsidP="00DE28E5">
      <w:pPr>
        <w:spacing w:before="100" w:beforeAutospacing="1" w:after="265" w:afterAutospacing="1" w:line="360" w:lineRule="auto"/>
        <w:jc w:val="both"/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</w:pPr>
      <w:r w:rsidRPr="00DE28E5"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  <w:t xml:space="preserve">i) la necessità di modifica è determinata da circostanze che un’amministrazione aggiudicatrice diligente non ha potuto prevedere; </w:t>
      </w:r>
    </w:p>
    <w:p w:rsidR="00DE28E5" w:rsidRPr="00DE28E5" w:rsidRDefault="00DE28E5" w:rsidP="00DE28E5">
      <w:pPr>
        <w:spacing w:before="100" w:beforeAutospacing="1" w:after="265" w:afterAutospacing="1" w:line="360" w:lineRule="auto"/>
        <w:jc w:val="both"/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</w:pPr>
      <w:r w:rsidRPr="00DE28E5"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  <w:t xml:space="preserve">ii) la modifica non altera la natura generale del contratto; </w:t>
      </w:r>
    </w:p>
    <w:p w:rsidR="00DE28E5" w:rsidRPr="00DE28E5" w:rsidRDefault="00DE28E5" w:rsidP="00DE28E5">
      <w:pPr>
        <w:spacing w:before="100" w:beforeAutospacing="1" w:after="265" w:afterAutospacing="1" w:line="360" w:lineRule="auto"/>
        <w:jc w:val="both"/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</w:pPr>
      <w:r w:rsidRPr="00DE28E5"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  <w:t>iii) l’eventuale aumento di prezzo non è superiore al 50 % del valore del contratto iniziale o dell’accordo quadro. In caso di più modifiche successive, tale limitazione si applica al valore di ciascuna modifica. Tali modifiche successive non sono intese ad aggirare la presente direttiva;</w:t>
      </w:r>
    </w:p>
    <w:p w:rsidR="00DE28E5" w:rsidRPr="00DE28E5" w:rsidRDefault="00DE28E5" w:rsidP="00DE28E5">
      <w:pPr>
        <w:spacing w:before="100" w:beforeAutospacing="1" w:after="265" w:afterAutospacing="1" w:line="360" w:lineRule="auto"/>
        <w:jc w:val="both"/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</w:pPr>
      <w:r w:rsidRPr="00DE28E5"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  <w:t xml:space="preserve">Ciò posto, nelle circostanze attuali, la prima condizione sarebbe soddisfatta in quanto la crisi COVID-19  è chiaramente una circostanza che non poteva essere prevista dalle amministrazioni aggiudicatrici;   </w:t>
      </w:r>
    </w:p>
    <w:p w:rsidR="00DE28E5" w:rsidRPr="00DE28E5" w:rsidRDefault="00DE28E5" w:rsidP="00DE28E5">
      <w:pPr>
        <w:spacing w:before="100" w:beforeAutospacing="1" w:after="265" w:afterAutospacing="1" w:line="360" w:lineRule="auto"/>
        <w:jc w:val="both"/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</w:pPr>
      <w:r w:rsidRPr="00DE28E5"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  <w:t xml:space="preserve">Per quanto riguarda la condizione sub ii) (le modifiche non cambiano la natura generale del contratto) le eventuali modifiche non dovrebbero cambiare sostanzialmente la dimensione / volume e la natura delle opere, dei servizi o delle forniture da fornire e ciò dovrebbe essere valutato caso per caso. È chiaro che i cambiamenti relativi alle condizioni di pagamento, la concessione agli operatori economici di esenzioni da sanzioni contrattuali e legali per inadempienze nell'esecuzione dei contratti e proroghe giustificate dei ritardi nell'esecuzione contrattuale possono essere considerati modifiche giustificate sulla base del citato articolo 72, paragrafo 1, lettera c). </w:t>
      </w:r>
    </w:p>
    <w:p w:rsidR="00DE28E5" w:rsidRPr="00DE28E5" w:rsidRDefault="00DE28E5" w:rsidP="00DE28E5">
      <w:pPr>
        <w:spacing w:before="100" w:beforeAutospacing="1" w:after="265" w:afterAutospacing="1" w:line="360" w:lineRule="auto"/>
        <w:jc w:val="both"/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</w:pPr>
      <w:r w:rsidRPr="00DE28E5">
        <w:rPr>
          <w:rFonts w:ascii="Times" w:eastAsia="Times New Roman" w:hAnsi="Times" w:cs="Times New Roman"/>
          <w:sz w:val="24"/>
          <w:szCs w:val="24"/>
          <w:shd w:val="clear" w:color="auto" w:fill="FFFFFF"/>
          <w:lang w:eastAsia="it-IT"/>
        </w:rPr>
        <w:t>Con riferimento alla condizione sub iii) (l'eventuale aumento del prezzo non è superiore al 50% del valore del contratto originale; in caso di più modifiche successive, tale limitazione si applica al valore di ciascuna modifica; tali modifiche consecutive non mirano a eludere la direttiva), si ritengono legittime le eventuali modifiche, nelle circostanze attuali, purché siano necessarie per mitigare le conseguenze della crisi nell'esecuzione di appalti pubblici e solo in tale misura.</w:t>
      </w:r>
      <w:bookmarkStart w:id="0" w:name="_GoBack"/>
      <w:bookmarkEnd w:id="0"/>
    </w:p>
    <w:sectPr w:rsidR="00DE28E5" w:rsidRPr="00DE2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E5"/>
    <w:rsid w:val="002A4E40"/>
    <w:rsid w:val="00641711"/>
    <w:rsid w:val="0075486F"/>
    <w:rsid w:val="00A55624"/>
    <w:rsid w:val="00D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alessandra.guerrieri</dc:creator>
  <cp:lastModifiedBy>alessandra.guerrieri</cp:lastModifiedBy>
  <cp:revision>3</cp:revision>
  <dcterms:created xsi:type="dcterms:W3CDTF">2020-04-07T07:23:00Z</dcterms:created>
  <dcterms:modified xsi:type="dcterms:W3CDTF">2020-04-07T07:36:00Z</dcterms:modified>
</cp:coreProperties>
</file>