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1A77C" w14:textId="5689E8B0" w:rsidR="008327C6" w:rsidRPr="008327C6" w:rsidRDefault="008327C6" w:rsidP="008327C6">
      <w:pPr>
        <w:spacing w:line="276" w:lineRule="auto"/>
        <w:jc w:val="right"/>
        <w:rPr>
          <w:rFonts w:ascii="Times New Roman" w:hAnsi="Times New Roman" w:cs="Times New Roman"/>
          <w:i/>
          <w:sz w:val="24"/>
          <w:szCs w:val="24"/>
        </w:rPr>
      </w:pPr>
      <w:r w:rsidRPr="008327C6">
        <w:rPr>
          <w:rFonts w:ascii="Times New Roman" w:hAnsi="Times New Roman" w:cs="Times New Roman"/>
          <w:i/>
          <w:sz w:val="24"/>
          <w:szCs w:val="24"/>
        </w:rPr>
        <w:t>Traduzione non ufficiale</w:t>
      </w:r>
    </w:p>
    <w:p w14:paraId="0D7BBD24" w14:textId="142C0E6A" w:rsidR="00E06829" w:rsidRDefault="005F3FD9">
      <w:pPr>
        <w:spacing w:line="27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Domande &amp;</w:t>
      </w:r>
      <w:r w:rsidR="008327C6">
        <w:rPr>
          <w:rFonts w:ascii="Times New Roman" w:hAnsi="Times New Roman" w:cs="Times New Roman"/>
          <w:b/>
          <w:sz w:val="24"/>
          <w:szCs w:val="24"/>
          <w:u w:val="single"/>
        </w:rPr>
        <w:t xml:space="preserve"> Risposte</w:t>
      </w:r>
    </w:p>
    <w:p w14:paraId="2EDBE577" w14:textId="77777777" w:rsidR="00E06829" w:rsidRDefault="00E06829">
      <w:pPr>
        <w:spacing w:line="276" w:lineRule="auto"/>
        <w:jc w:val="both"/>
        <w:rPr>
          <w:rFonts w:ascii="Times New Roman" w:hAnsi="Times New Roman" w:cs="Times New Roman"/>
          <w:sz w:val="24"/>
          <w:szCs w:val="24"/>
        </w:rPr>
      </w:pPr>
    </w:p>
    <w:p w14:paraId="7C34B91E" w14:textId="0306D445" w:rsidR="00E06829" w:rsidRPr="003226F4" w:rsidRDefault="005F3FD9">
      <w:pPr>
        <w:spacing w:after="160" w:line="276" w:lineRule="auto"/>
        <w:jc w:val="both"/>
        <w:rPr>
          <w:rFonts w:ascii="Times New Roman" w:hAnsi="Times New Roman" w:cs="Times New Roman"/>
          <w:b/>
          <w:bCs/>
          <w:sz w:val="24"/>
          <w:szCs w:val="24"/>
          <w:u w:val="single"/>
        </w:rPr>
      </w:pPr>
      <w:r w:rsidRPr="003226F4">
        <w:rPr>
          <w:rFonts w:ascii="Times New Roman" w:hAnsi="Times New Roman" w:cs="Times New Roman"/>
          <w:b/>
          <w:bCs/>
          <w:sz w:val="24"/>
          <w:szCs w:val="24"/>
          <w:u w:val="single"/>
        </w:rPr>
        <w:t xml:space="preserve">Domanda </w:t>
      </w:r>
      <w:r w:rsidRPr="003226F4">
        <w:rPr>
          <w:rFonts w:ascii="Times New Roman" w:hAnsi="Times New Roman" w:cs="Times New Roman"/>
          <w:b/>
          <w:bCs/>
          <w:sz w:val="32"/>
          <w:szCs w:val="24"/>
          <w:u w:val="single"/>
        </w:rPr>
        <w:t xml:space="preserve"> 1</w:t>
      </w:r>
    </w:p>
    <w:p w14:paraId="0DAEB621" w14:textId="4FCBDCB3" w:rsidR="00E06829" w:rsidRPr="0042314A" w:rsidRDefault="005F3FD9">
      <w:pPr>
        <w:spacing w:after="160" w:line="276" w:lineRule="auto"/>
        <w:jc w:val="both"/>
        <w:rPr>
          <w:rFonts w:ascii="Times New Roman" w:hAnsi="Times New Roman" w:cs="Times New Roman"/>
          <w:b/>
          <w:bCs/>
          <w:i/>
          <w:iCs/>
          <w:sz w:val="24"/>
          <w:szCs w:val="24"/>
        </w:rPr>
      </w:pPr>
      <w:r w:rsidRPr="0042314A">
        <w:rPr>
          <w:rFonts w:ascii="Times New Roman" w:hAnsi="Times New Roman" w:cs="Times New Roman"/>
          <w:b/>
          <w:bCs/>
          <w:i/>
          <w:iCs/>
          <w:sz w:val="24"/>
          <w:szCs w:val="24"/>
        </w:rPr>
        <w:t xml:space="preserve">Nel caso di </w:t>
      </w:r>
      <w:r w:rsidR="008844F7" w:rsidRPr="0042314A">
        <w:rPr>
          <w:rFonts w:ascii="Times New Roman" w:hAnsi="Times New Roman" w:cs="Times New Roman"/>
          <w:b/>
          <w:bCs/>
          <w:i/>
          <w:iCs/>
          <w:sz w:val="24"/>
          <w:szCs w:val="24"/>
        </w:rPr>
        <w:t>sussidi</w:t>
      </w:r>
      <w:r w:rsidR="003226F4">
        <w:rPr>
          <w:rFonts w:ascii="Times New Roman" w:hAnsi="Times New Roman" w:cs="Times New Roman"/>
          <w:b/>
          <w:bCs/>
          <w:i/>
          <w:iCs/>
          <w:sz w:val="24"/>
          <w:szCs w:val="24"/>
        </w:rPr>
        <w:t xml:space="preserve"> concessi</w:t>
      </w:r>
      <w:r w:rsidRPr="0042314A">
        <w:rPr>
          <w:rFonts w:ascii="Times New Roman" w:hAnsi="Times New Roman" w:cs="Times New Roman"/>
          <w:b/>
          <w:bCs/>
          <w:i/>
          <w:iCs/>
          <w:sz w:val="24"/>
          <w:szCs w:val="24"/>
        </w:rPr>
        <w:t xml:space="preserve"> a persone che non sono in grado di lavorare a causa delle misure governative (ad esempio, lavoratori nel ristorante, ma anche coloro che devono rimanere a casa per prendersi cura dei figli, </w:t>
      </w:r>
      <w:r w:rsidR="00AF6E86" w:rsidRPr="0042314A">
        <w:rPr>
          <w:rFonts w:ascii="Times New Roman" w:hAnsi="Times New Roman" w:cs="Times New Roman"/>
          <w:b/>
          <w:bCs/>
          <w:i/>
          <w:iCs/>
          <w:sz w:val="24"/>
          <w:szCs w:val="24"/>
        </w:rPr>
        <w:t>data la chiusura del</w:t>
      </w:r>
      <w:r w:rsidRPr="0042314A">
        <w:rPr>
          <w:rFonts w:ascii="Times New Roman" w:hAnsi="Times New Roman" w:cs="Times New Roman"/>
          <w:b/>
          <w:bCs/>
          <w:i/>
          <w:iCs/>
          <w:sz w:val="24"/>
          <w:szCs w:val="24"/>
        </w:rPr>
        <w:t>le scuole), quale documento/procedura è necessario provare la loro condizione?</w:t>
      </w:r>
      <w:r w:rsidR="003226F4">
        <w:rPr>
          <w:rFonts w:ascii="Times New Roman" w:hAnsi="Times New Roman" w:cs="Times New Roman"/>
          <w:b/>
          <w:bCs/>
          <w:i/>
          <w:iCs/>
          <w:sz w:val="24"/>
          <w:szCs w:val="24"/>
        </w:rPr>
        <w:t xml:space="preserve"> </w:t>
      </w:r>
      <w:r w:rsidRPr="0042314A">
        <w:rPr>
          <w:rFonts w:ascii="Times New Roman" w:hAnsi="Times New Roman" w:cs="Times New Roman"/>
          <w:b/>
          <w:bCs/>
          <w:i/>
          <w:iCs/>
          <w:sz w:val="24"/>
          <w:szCs w:val="24"/>
        </w:rPr>
        <w:t>Le persone che non lavorano devono chiedere una sos</w:t>
      </w:r>
      <w:r w:rsidR="00AF6E86" w:rsidRPr="0042314A">
        <w:rPr>
          <w:rFonts w:ascii="Times New Roman" w:hAnsi="Times New Roman" w:cs="Times New Roman"/>
          <w:b/>
          <w:bCs/>
          <w:i/>
          <w:iCs/>
          <w:sz w:val="24"/>
          <w:szCs w:val="24"/>
        </w:rPr>
        <w:t>pensione dell'occupazione/una aspettativa</w:t>
      </w:r>
      <w:r w:rsidRPr="0042314A">
        <w:rPr>
          <w:rFonts w:ascii="Times New Roman" w:hAnsi="Times New Roman" w:cs="Times New Roman"/>
          <w:b/>
          <w:bCs/>
          <w:i/>
          <w:iCs/>
          <w:sz w:val="24"/>
          <w:szCs w:val="24"/>
        </w:rPr>
        <w:t>?</w:t>
      </w:r>
    </w:p>
    <w:p w14:paraId="06F8AD12" w14:textId="77777777" w:rsidR="00E06829" w:rsidRPr="0042314A" w:rsidRDefault="005F3FD9">
      <w:pPr>
        <w:spacing w:after="160" w:line="276" w:lineRule="auto"/>
        <w:jc w:val="both"/>
        <w:rPr>
          <w:rFonts w:ascii="Times New Roman" w:hAnsi="Times New Roman" w:cs="Times New Roman"/>
          <w:b/>
          <w:i/>
          <w:iCs/>
          <w:sz w:val="24"/>
          <w:szCs w:val="24"/>
          <w:u w:val="single"/>
        </w:rPr>
      </w:pPr>
      <w:r w:rsidRPr="0042314A">
        <w:rPr>
          <w:rFonts w:ascii="Times New Roman" w:hAnsi="Times New Roman" w:cs="Times New Roman"/>
          <w:b/>
          <w:i/>
          <w:iCs/>
          <w:sz w:val="24"/>
          <w:szCs w:val="24"/>
          <w:u w:val="single"/>
        </w:rPr>
        <w:t>RISPOSTA</w:t>
      </w:r>
    </w:p>
    <w:p w14:paraId="45CB7750" w14:textId="2C59A9F5" w:rsidR="00E06829" w:rsidRPr="0042314A" w:rsidRDefault="005F3FD9">
      <w:pPr>
        <w:spacing w:after="120" w:line="276" w:lineRule="auto"/>
        <w:jc w:val="both"/>
        <w:rPr>
          <w:rFonts w:ascii="Times New Roman" w:hAnsi="Times New Roman" w:cs="Times New Roman"/>
          <w:sz w:val="24"/>
          <w:szCs w:val="24"/>
        </w:rPr>
      </w:pPr>
      <w:r w:rsidRPr="0042314A">
        <w:rPr>
          <w:rFonts w:ascii="Times New Roman" w:hAnsi="Times New Roman" w:cs="Times New Roman"/>
          <w:b/>
          <w:sz w:val="24"/>
          <w:szCs w:val="24"/>
        </w:rPr>
        <w:t>Le norme</w:t>
      </w:r>
      <w:r w:rsidRPr="0042314A">
        <w:rPr>
          <w:rFonts w:ascii="Times New Roman" w:hAnsi="Times New Roman" w:cs="Times New Roman"/>
          <w:sz w:val="24"/>
          <w:szCs w:val="24"/>
        </w:rPr>
        <w:t xml:space="preserve"> nazionali sull'ammissibilità</w:t>
      </w:r>
      <w:r w:rsidRPr="0042314A">
        <w:rPr>
          <w:rFonts w:ascii="Times New Roman" w:hAnsi="Times New Roman" w:cs="Times New Roman"/>
          <w:b/>
          <w:sz w:val="24"/>
          <w:szCs w:val="24"/>
        </w:rPr>
        <w:t xml:space="preserve"> relative all'FSE dovrebbero determinare ciò che è ammissibile. Gli Stati membri dispongono di ampia flessibilità nella definizione dei costi ammissibili, in quanto le norme nazionali in materia di ammissibilità devono rispettare il numero molto limitato di norme in materia di ammissibilità a livello dell'UE (nel regolamento recante disposizioni comuni e nel regolamento FSE).</w:t>
      </w:r>
    </w:p>
    <w:p w14:paraId="29AD2430" w14:textId="56E26EA4" w:rsidR="00E06829" w:rsidRPr="0042314A" w:rsidRDefault="005F3FD9">
      <w:pPr>
        <w:pBdr>
          <w:bottom w:val="single" w:sz="6" w:space="1" w:color="auto"/>
        </w:pBdr>
        <w:spacing w:after="120" w:line="276" w:lineRule="auto"/>
        <w:jc w:val="both"/>
        <w:rPr>
          <w:rFonts w:ascii="Times New Roman" w:hAnsi="Times New Roman" w:cs="Times New Roman"/>
          <w:sz w:val="24"/>
          <w:szCs w:val="24"/>
        </w:rPr>
      </w:pPr>
      <w:r w:rsidRPr="0042314A">
        <w:rPr>
          <w:rFonts w:ascii="Times New Roman" w:hAnsi="Times New Roman" w:cs="Times New Roman"/>
          <w:sz w:val="24"/>
          <w:szCs w:val="24"/>
        </w:rPr>
        <w:t xml:space="preserve">Gli Stati membri sono inoltre competenti per stabilire come intendono </w:t>
      </w:r>
      <w:r w:rsidRPr="0042314A">
        <w:rPr>
          <w:rFonts w:ascii="Times New Roman" w:hAnsi="Times New Roman" w:cs="Times New Roman"/>
          <w:b/>
          <w:sz w:val="24"/>
          <w:szCs w:val="24"/>
        </w:rPr>
        <w:t>verificare il rispetto delle norme in materia di ammissibilità</w:t>
      </w:r>
      <w:r w:rsidR="00336963" w:rsidRPr="0042314A">
        <w:rPr>
          <w:rFonts w:ascii="Times New Roman" w:hAnsi="Times New Roman" w:cs="Times New Roman"/>
          <w:b/>
          <w:sz w:val="24"/>
          <w:szCs w:val="24"/>
        </w:rPr>
        <w:t xml:space="preserve">. </w:t>
      </w:r>
      <w:r w:rsidRPr="0042314A">
        <w:rPr>
          <w:rFonts w:ascii="Times New Roman" w:hAnsi="Times New Roman" w:cs="Times New Roman"/>
          <w:sz w:val="24"/>
          <w:szCs w:val="24"/>
        </w:rPr>
        <w:t>Sarà utile discuterne con l'autorità nazionale di audit, in quanto ciò determinerà ciò che dovrà essere controllato ai vari livelli (dall'autorità di gestione, dall'autorità nazionale di audit e dai revisori della Commissione).</w:t>
      </w:r>
      <w:r w:rsidR="003226F4">
        <w:rPr>
          <w:rFonts w:ascii="Times New Roman" w:hAnsi="Times New Roman" w:cs="Times New Roman"/>
          <w:sz w:val="24"/>
          <w:szCs w:val="24"/>
        </w:rPr>
        <w:t xml:space="preserve"> </w:t>
      </w:r>
      <w:r w:rsidRPr="0042314A">
        <w:rPr>
          <w:rFonts w:ascii="Times New Roman" w:hAnsi="Times New Roman" w:cs="Times New Roman"/>
          <w:sz w:val="24"/>
          <w:szCs w:val="24"/>
        </w:rPr>
        <w:t>Ciò garantisce anche la certezza dell'audit per quanto riguarda le spese del Fondo sociale europeo. È pe</w:t>
      </w:r>
      <w:r w:rsidR="000D5010" w:rsidRPr="0042314A">
        <w:rPr>
          <w:rFonts w:ascii="Times New Roman" w:hAnsi="Times New Roman" w:cs="Times New Roman"/>
          <w:sz w:val="24"/>
          <w:szCs w:val="24"/>
        </w:rPr>
        <w:t>rtanto della massima importanza preservare la semplicità</w:t>
      </w:r>
      <w:r w:rsidRPr="0042314A">
        <w:rPr>
          <w:rFonts w:ascii="Times New Roman" w:hAnsi="Times New Roman" w:cs="Times New Roman"/>
          <w:sz w:val="24"/>
          <w:szCs w:val="24"/>
        </w:rPr>
        <w:t xml:space="preserve"> e</w:t>
      </w:r>
      <w:r w:rsidR="000D5010" w:rsidRPr="0042314A">
        <w:rPr>
          <w:rFonts w:ascii="Times New Roman" w:hAnsi="Times New Roman" w:cs="Times New Roman"/>
          <w:sz w:val="24"/>
          <w:szCs w:val="24"/>
        </w:rPr>
        <w:t xml:space="preserve"> che si </w:t>
      </w:r>
      <w:r w:rsidRPr="0042314A">
        <w:rPr>
          <w:rFonts w:ascii="Times New Roman" w:hAnsi="Times New Roman" w:cs="Times New Roman"/>
          <w:sz w:val="24"/>
          <w:szCs w:val="24"/>
        </w:rPr>
        <w:t>eviti la sovraregolamentazione (</w:t>
      </w:r>
      <w:r w:rsidRPr="0042314A">
        <w:rPr>
          <w:rFonts w:ascii="Times New Roman" w:hAnsi="Times New Roman" w:cs="Times New Roman"/>
          <w:i/>
          <w:sz w:val="24"/>
          <w:szCs w:val="24"/>
        </w:rPr>
        <w:t>gold-plating</w:t>
      </w:r>
      <w:r w:rsidRPr="0042314A">
        <w:rPr>
          <w:rFonts w:ascii="Times New Roman" w:hAnsi="Times New Roman" w:cs="Times New Roman"/>
          <w:sz w:val="24"/>
          <w:szCs w:val="24"/>
        </w:rPr>
        <w:t>).</w:t>
      </w:r>
    </w:p>
    <w:p w14:paraId="082A6513" w14:textId="521A74AD" w:rsidR="00E06829" w:rsidRPr="003226F4" w:rsidRDefault="005F3FD9">
      <w:pPr>
        <w:spacing w:after="160" w:line="276" w:lineRule="auto"/>
        <w:jc w:val="both"/>
        <w:rPr>
          <w:rFonts w:ascii="Times New Roman" w:hAnsi="Times New Roman" w:cs="Times New Roman"/>
          <w:b/>
          <w:bCs/>
          <w:sz w:val="24"/>
          <w:szCs w:val="24"/>
          <w:u w:val="single"/>
        </w:rPr>
      </w:pPr>
      <w:r w:rsidRPr="003226F4">
        <w:rPr>
          <w:rFonts w:ascii="Times New Roman" w:hAnsi="Times New Roman" w:cs="Times New Roman"/>
          <w:b/>
          <w:bCs/>
          <w:sz w:val="24"/>
          <w:szCs w:val="24"/>
          <w:u w:val="single"/>
        </w:rPr>
        <w:t xml:space="preserve">Domanda </w:t>
      </w:r>
      <w:r w:rsidRPr="003226F4">
        <w:rPr>
          <w:rFonts w:ascii="Times New Roman" w:hAnsi="Times New Roman" w:cs="Times New Roman"/>
          <w:b/>
          <w:bCs/>
          <w:sz w:val="32"/>
          <w:szCs w:val="24"/>
          <w:u w:val="single"/>
        </w:rPr>
        <w:t xml:space="preserve"> 2</w:t>
      </w:r>
    </w:p>
    <w:p w14:paraId="5D744EE9" w14:textId="77777777" w:rsidR="00E06829" w:rsidRPr="0042314A" w:rsidRDefault="005F3FD9">
      <w:pPr>
        <w:spacing w:after="160" w:line="276" w:lineRule="auto"/>
        <w:jc w:val="both"/>
        <w:rPr>
          <w:rFonts w:ascii="Times New Roman" w:hAnsi="Times New Roman" w:cs="Times New Roman"/>
          <w:b/>
          <w:bCs/>
          <w:i/>
          <w:iCs/>
          <w:sz w:val="24"/>
          <w:szCs w:val="24"/>
        </w:rPr>
      </w:pPr>
      <w:r w:rsidRPr="0042314A">
        <w:rPr>
          <w:rFonts w:ascii="Times New Roman" w:hAnsi="Times New Roman" w:cs="Times New Roman"/>
          <w:b/>
          <w:bCs/>
          <w:i/>
          <w:iCs/>
          <w:sz w:val="24"/>
          <w:szCs w:val="24"/>
        </w:rPr>
        <w:t>Telelavoro: quali costi sono ammissibili all'FSE?</w:t>
      </w:r>
    </w:p>
    <w:p w14:paraId="26B67F05" w14:textId="77777777" w:rsidR="00E06829" w:rsidRPr="0042314A" w:rsidRDefault="005F3FD9">
      <w:pPr>
        <w:spacing w:after="160" w:line="276" w:lineRule="auto"/>
        <w:jc w:val="both"/>
        <w:rPr>
          <w:rFonts w:ascii="Times New Roman" w:hAnsi="Times New Roman" w:cs="Times New Roman"/>
          <w:b/>
          <w:i/>
          <w:iCs/>
          <w:sz w:val="24"/>
          <w:szCs w:val="24"/>
          <w:u w:val="single"/>
        </w:rPr>
      </w:pPr>
      <w:r w:rsidRPr="0042314A">
        <w:rPr>
          <w:rFonts w:ascii="Times New Roman" w:hAnsi="Times New Roman" w:cs="Times New Roman"/>
          <w:b/>
          <w:i/>
          <w:iCs/>
          <w:sz w:val="24"/>
          <w:szCs w:val="24"/>
          <w:u w:val="single"/>
        </w:rPr>
        <w:t>RISPOSTA</w:t>
      </w:r>
    </w:p>
    <w:p w14:paraId="5E3F0F54" w14:textId="47695B24" w:rsidR="00E06829" w:rsidRDefault="008844F7">
      <w:pPr>
        <w:pBdr>
          <w:bottom w:val="single" w:sz="6" w:space="1" w:color="auto"/>
        </w:pBdr>
        <w:spacing w:after="120" w:line="276" w:lineRule="auto"/>
        <w:jc w:val="both"/>
        <w:rPr>
          <w:rFonts w:ascii="Times New Roman" w:hAnsi="Times New Roman" w:cs="Times New Roman"/>
          <w:sz w:val="24"/>
          <w:szCs w:val="24"/>
        </w:rPr>
      </w:pPr>
      <w:r w:rsidRPr="0042314A">
        <w:rPr>
          <w:rFonts w:ascii="Times New Roman" w:hAnsi="Times New Roman" w:cs="Times New Roman"/>
          <w:sz w:val="24"/>
          <w:szCs w:val="24"/>
        </w:rPr>
        <w:t>Da definirsi ne</w:t>
      </w:r>
      <w:r w:rsidR="005F3FD9" w:rsidRPr="0042314A">
        <w:rPr>
          <w:rFonts w:ascii="Times New Roman" w:hAnsi="Times New Roman" w:cs="Times New Roman"/>
          <w:sz w:val="24"/>
          <w:szCs w:val="24"/>
        </w:rPr>
        <w:t>lle norme nazionali in materia di ammissibilità e per garantire che siano programmate nell'ambito della pertinente priorità d'investimento. Gli Stati membri dispongono di ampia flessibilità nella definizione dei costi ammissibili, in quanto le norme nazionali in materia di ammissibilità devono rispettare il numero molto limitato di norme in materia di ammissibilità a livello dell'UE (nel regolamento recante disposizioni comuni e nel regolamento FSE).</w:t>
      </w:r>
    </w:p>
    <w:p w14:paraId="201A85F2" w14:textId="4FEDE197" w:rsidR="00E06829" w:rsidRDefault="005F3FD9">
      <w:pPr>
        <w:spacing w:after="160" w:line="276"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Domanda </w:t>
      </w:r>
      <w:r>
        <w:rPr>
          <w:rFonts w:ascii="Times New Roman" w:hAnsi="Times New Roman" w:cs="Times New Roman"/>
          <w:b/>
          <w:bCs/>
          <w:sz w:val="32"/>
          <w:szCs w:val="24"/>
          <w:u w:val="single"/>
        </w:rPr>
        <w:t xml:space="preserve"> 3</w:t>
      </w:r>
    </w:p>
    <w:p w14:paraId="34914E3C" w14:textId="5AC09EAE" w:rsidR="00E06829" w:rsidRDefault="005F3FD9">
      <w:pPr>
        <w:spacing w:after="160"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Riprogrammazione: </w:t>
      </w:r>
      <w:r w:rsidR="000F6CCC">
        <w:rPr>
          <w:rFonts w:ascii="Times New Roman" w:hAnsi="Times New Roman" w:cs="Times New Roman"/>
          <w:b/>
          <w:bCs/>
          <w:i/>
          <w:iCs/>
          <w:sz w:val="24"/>
          <w:szCs w:val="24"/>
        </w:rPr>
        <w:t xml:space="preserve">Il </w:t>
      </w:r>
      <w:r>
        <w:rPr>
          <w:rFonts w:ascii="Times New Roman" w:hAnsi="Times New Roman" w:cs="Times New Roman"/>
          <w:b/>
          <w:bCs/>
          <w:i/>
          <w:iCs/>
          <w:sz w:val="24"/>
          <w:szCs w:val="24"/>
        </w:rPr>
        <w:t xml:space="preserve">nuovo limite dell'8 % per il trasferimento verso un </w:t>
      </w:r>
      <w:r w:rsidR="000F6CCC">
        <w:rPr>
          <w:rFonts w:ascii="Times New Roman" w:hAnsi="Times New Roman" w:cs="Times New Roman"/>
          <w:b/>
          <w:bCs/>
          <w:i/>
          <w:iCs/>
          <w:sz w:val="24"/>
          <w:szCs w:val="24"/>
        </w:rPr>
        <w:t xml:space="preserve">altro </w:t>
      </w:r>
      <w:r>
        <w:rPr>
          <w:rFonts w:ascii="Times New Roman" w:hAnsi="Times New Roman" w:cs="Times New Roman"/>
          <w:b/>
          <w:bCs/>
          <w:i/>
          <w:iCs/>
          <w:sz w:val="24"/>
          <w:szCs w:val="24"/>
        </w:rPr>
        <w:t>asse prioritario.</w:t>
      </w:r>
    </w:p>
    <w:p w14:paraId="45732BEA" w14:textId="23D8E196" w:rsidR="00E06829" w:rsidRDefault="000F6CCC">
      <w:pPr>
        <w:numPr>
          <w:ilvl w:val="0"/>
          <w:numId w:val="2"/>
        </w:numPr>
        <w:spacing w:after="160" w:line="276" w:lineRule="auto"/>
        <w:ind w:left="960"/>
        <w:jc w:val="both"/>
        <w:rPr>
          <w:rFonts w:ascii="Times New Roman" w:hAnsi="Times New Roman" w:cs="Times New Roman"/>
          <w:b/>
          <w:bCs/>
          <w:i/>
          <w:iCs/>
          <w:sz w:val="24"/>
          <w:szCs w:val="24"/>
        </w:rPr>
      </w:pPr>
      <w:r>
        <w:rPr>
          <w:rFonts w:ascii="Times New Roman" w:hAnsi="Times New Roman" w:cs="Times New Roman"/>
          <w:b/>
          <w:bCs/>
          <w:i/>
          <w:iCs/>
          <w:sz w:val="24"/>
          <w:szCs w:val="24"/>
        </w:rPr>
        <w:t>Tale limite fa riferimento all'asse "che cede</w:t>
      </w:r>
      <w:r w:rsidR="005F3FD9">
        <w:rPr>
          <w:rFonts w:ascii="Times New Roman" w:hAnsi="Times New Roman" w:cs="Times New Roman"/>
          <w:b/>
          <w:bCs/>
          <w:i/>
          <w:iCs/>
          <w:sz w:val="24"/>
          <w:szCs w:val="24"/>
        </w:rPr>
        <w:t>" o all'asse "</w:t>
      </w:r>
      <w:r>
        <w:rPr>
          <w:rFonts w:ascii="Times New Roman" w:hAnsi="Times New Roman" w:cs="Times New Roman"/>
          <w:b/>
          <w:bCs/>
          <w:i/>
          <w:iCs/>
          <w:sz w:val="24"/>
          <w:szCs w:val="24"/>
        </w:rPr>
        <w:t>che riceve</w:t>
      </w:r>
      <w:r w:rsidR="005F3FD9">
        <w:rPr>
          <w:rFonts w:ascii="Times New Roman" w:hAnsi="Times New Roman" w:cs="Times New Roman"/>
          <w:b/>
          <w:bCs/>
          <w:i/>
          <w:iCs/>
          <w:sz w:val="24"/>
          <w:szCs w:val="24"/>
        </w:rPr>
        <w:t>"?</w:t>
      </w:r>
    </w:p>
    <w:p w14:paraId="3B2F058A" w14:textId="09CB7718" w:rsidR="000F6CCC" w:rsidRDefault="00A674C6" w:rsidP="00A674C6">
      <w:pPr>
        <w:spacing w:after="160" w:line="276" w:lineRule="auto"/>
        <w:ind w:left="960"/>
        <w:rPr>
          <w:rStyle w:val="Hyperlink"/>
          <w:rFonts w:ascii="Times New Roman" w:hAnsi="Times New Roman" w:cs="Times New Roman"/>
          <w:b/>
          <w:bCs/>
          <w:i/>
          <w:iCs/>
          <w:sz w:val="24"/>
          <w:szCs w:val="24"/>
        </w:rPr>
      </w:pPr>
      <w:r>
        <w:lastRenderedPageBreak/>
        <w:t>Piattaforma CRII</w:t>
      </w:r>
      <w:r w:rsidR="00FA042A">
        <w:t xml:space="preserve">: </w:t>
      </w:r>
      <w:r>
        <w:t xml:space="preserve"> </w:t>
      </w:r>
      <w:hyperlink r:id="rId8" w:history="1">
        <w:r w:rsidR="00FA042A" w:rsidRPr="002C6666">
          <w:rPr>
            <w:rStyle w:val="Hyperlink"/>
            <w:rFonts w:ascii="Times New Roman" w:hAnsi="Times New Roman" w:cs="Times New Roman"/>
            <w:b/>
            <w:bCs/>
            <w:i/>
            <w:iCs/>
            <w:sz w:val="24"/>
            <w:szCs w:val="24"/>
          </w:rPr>
          <w:t>https://webgate.ec.europa.eu/fpfis/wikis/pages/viewpage.action?pageId=469663935</w:t>
        </w:r>
      </w:hyperlink>
    </w:p>
    <w:p w14:paraId="393E355F" w14:textId="712CA6D0" w:rsidR="00E06829" w:rsidRPr="00727CA2" w:rsidRDefault="00727CA2" w:rsidP="00FA042A">
      <w:pPr>
        <w:spacing w:after="160" w:line="276" w:lineRule="auto"/>
        <w:ind w:left="960"/>
        <w:jc w:val="both"/>
        <w:rPr>
          <w:rFonts w:ascii="Times New Roman" w:hAnsi="Times New Roman" w:cs="Times New Roman"/>
          <w:sz w:val="24"/>
          <w:szCs w:val="24"/>
        </w:rPr>
      </w:pPr>
      <w:r w:rsidRPr="00727CA2">
        <w:rPr>
          <w:rFonts w:ascii="Times New Roman" w:hAnsi="Times New Roman" w:cs="Times New Roman"/>
          <w:b/>
          <w:bCs/>
          <w:iCs/>
          <w:sz w:val="24"/>
          <w:szCs w:val="24"/>
        </w:rPr>
        <w:t>‘</w:t>
      </w:r>
      <w:r w:rsidR="00FA042A" w:rsidRPr="00727CA2">
        <w:rPr>
          <w:rFonts w:ascii="Times New Roman" w:hAnsi="Times New Roman" w:cs="Times New Roman"/>
          <w:bCs/>
          <w:iCs/>
          <w:sz w:val="24"/>
          <w:szCs w:val="24"/>
        </w:rPr>
        <w:t>U</w:t>
      </w:r>
      <w:r w:rsidR="000F6CCC" w:rsidRPr="00727CA2">
        <w:rPr>
          <w:rFonts w:ascii="Times New Roman" w:hAnsi="Times New Roman" w:cs="Times New Roman"/>
          <w:bCs/>
          <w:iCs/>
          <w:sz w:val="24"/>
          <w:szCs w:val="24"/>
        </w:rPr>
        <w:t>n importo fino all'8 % della dotazione di una priorità</w:t>
      </w:r>
      <w:r w:rsidR="00FA042A" w:rsidRPr="00727CA2">
        <w:rPr>
          <w:rFonts w:ascii="Times New Roman" w:hAnsi="Times New Roman" w:cs="Times New Roman"/>
          <w:bCs/>
          <w:iCs/>
          <w:sz w:val="24"/>
          <w:szCs w:val="24"/>
        </w:rPr>
        <w:t xml:space="preserve"> (che cede)</w:t>
      </w:r>
      <w:r w:rsidR="000F6CCC" w:rsidRPr="00727CA2">
        <w:rPr>
          <w:rFonts w:ascii="Times New Roman" w:hAnsi="Times New Roman" w:cs="Times New Roman"/>
          <w:bCs/>
          <w:iCs/>
          <w:sz w:val="24"/>
          <w:szCs w:val="24"/>
        </w:rPr>
        <w:t xml:space="preserve">, puo’ essere trasferito </w:t>
      </w:r>
      <w:r w:rsidR="00FA042A" w:rsidRPr="00727CA2">
        <w:rPr>
          <w:rFonts w:ascii="Times New Roman" w:hAnsi="Times New Roman" w:cs="Times New Roman"/>
          <w:bCs/>
          <w:iCs/>
          <w:sz w:val="24"/>
          <w:szCs w:val="24"/>
        </w:rPr>
        <w:t>dal</w:t>
      </w:r>
      <w:r w:rsidR="000F6CCC" w:rsidRPr="00727CA2">
        <w:rPr>
          <w:rFonts w:ascii="Times New Roman" w:hAnsi="Times New Roman" w:cs="Times New Roman"/>
          <w:bCs/>
          <w:iCs/>
          <w:sz w:val="24"/>
          <w:szCs w:val="24"/>
        </w:rPr>
        <w:t xml:space="preserve"> 1° febbraio 202</w:t>
      </w:r>
      <w:r w:rsidR="00FA042A" w:rsidRPr="00727CA2">
        <w:rPr>
          <w:rFonts w:ascii="Times New Roman" w:hAnsi="Times New Roman" w:cs="Times New Roman"/>
          <w:bCs/>
          <w:iCs/>
          <w:sz w:val="24"/>
          <w:szCs w:val="24"/>
        </w:rPr>
        <w:t xml:space="preserve">0 e entro il limite del 4 % dell’assegnazione complessiva del programma </w:t>
      </w:r>
      <w:r w:rsidR="000F6CCC" w:rsidRPr="00727CA2">
        <w:rPr>
          <w:rFonts w:ascii="Times New Roman" w:hAnsi="Times New Roman" w:cs="Times New Roman"/>
          <w:bCs/>
          <w:iCs/>
          <w:sz w:val="24"/>
          <w:szCs w:val="24"/>
        </w:rPr>
        <w:t>a</w:t>
      </w:r>
      <w:r w:rsidR="00FA042A" w:rsidRPr="00727CA2">
        <w:rPr>
          <w:rFonts w:ascii="Times New Roman" w:hAnsi="Times New Roman" w:cs="Times New Roman"/>
          <w:bCs/>
          <w:iCs/>
          <w:sz w:val="24"/>
          <w:szCs w:val="24"/>
        </w:rPr>
        <w:t>d</w:t>
      </w:r>
      <w:r w:rsidR="000F6CCC" w:rsidRPr="00727CA2">
        <w:rPr>
          <w:rFonts w:ascii="Times New Roman" w:hAnsi="Times New Roman" w:cs="Times New Roman"/>
          <w:bCs/>
          <w:iCs/>
          <w:sz w:val="24"/>
          <w:szCs w:val="24"/>
        </w:rPr>
        <w:t xml:space="preserve"> un'altra priorità </w:t>
      </w:r>
      <w:r w:rsidR="005F3FD9" w:rsidRPr="00727CA2">
        <w:rPr>
          <w:rFonts w:ascii="Times New Roman" w:hAnsi="Times New Roman" w:cs="Times New Roman"/>
          <w:sz w:val="24"/>
          <w:szCs w:val="24"/>
        </w:rPr>
        <w:t>nell'ambito dello stesso fondo e all'i</w:t>
      </w:r>
      <w:r w:rsidR="00FA042A" w:rsidRPr="00727CA2">
        <w:rPr>
          <w:rFonts w:ascii="Times New Roman" w:hAnsi="Times New Roman" w:cs="Times New Roman"/>
          <w:sz w:val="24"/>
          <w:szCs w:val="24"/>
        </w:rPr>
        <w:t>nterno dello stesso programma</w:t>
      </w:r>
      <w:r w:rsidR="005F3FD9" w:rsidRPr="00727CA2">
        <w:rPr>
          <w:rFonts w:ascii="Times New Roman" w:hAnsi="Times New Roman" w:cs="Times New Roman"/>
          <w:sz w:val="24"/>
          <w:szCs w:val="24"/>
        </w:rPr>
        <w:t>. Gli Stati membri applicano i limiti fissati dall'ar</w:t>
      </w:r>
      <w:r w:rsidR="00FA042A" w:rsidRPr="00727CA2">
        <w:rPr>
          <w:rFonts w:ascii="Times New Roman" w:hAnsi="Times New Roman" w:cs="Times New Roman"/>
          <w:sz w:val="24"/>
          <w:szCs w:val="24"/>
        </w:rPr>
        <w:t xml:space="preserve">ticolo 30, paragrafo 5, del CPR </w:t>
      </w:r>
      <w:r w:rsidRPr="00727CA2">
        <w:rPr>
          <w:rFonts w:ascii="Times New Roman" w:hAnsi="Times New Roman" w:cs="Times New Roman"/>
          <w:sz w:val="24"/>
          <w:szCs w:val="24"/>
        </w:rPr>
        <w:t>(</w:t>
      </w:r>
      <w:r w:rsidR="00FA042A" w:rsidRPr="00727CA2">
        <w:rPr>
          <w:rFonts w:ascii="Times New Roman" w:hAnsi="Times New Roman" w:cs="Times New Roman"/>
          <w:i/>
          <w:sz w:val="24"/>
          <w:szCs w:val="24"/>
        </w:rPr>
        <w:t>modificato</w:t>
      </w:r>
      <w:r>
        <w:rPr>
          <w:rFonts w:ascii="Times New Roman" w:hAnsi="Times New Roman" w:cs="Times New Roman"/>
          <w:i/>
          <w:sz w:val="24"/>
          <w:szCs w:val="24"/>
        </w:rPr>
        <w:t>*</w:t>
      </w:r>
      <w:r w:rsidRPr="00727CA2">
        <w:rPr>
          <w:rFonts w:ascii="Times New Roman" w:hAnsi="Times New Roman" w:cs="Times New Roman"/>
          <w:i/>
          <w:sz w:val="24"/>
          <w:szCs w:val="24"/>
        </w:rPr>
        <w:t>)</w:t>
      </w:r>
      <w:r w:rsidR="005F3FD9" w:rsidRPr="00727CA2">
        <w:rPr>
          <w:rFonts w:ascii="Times New Roman" w:hAnsi="Times New Roman" w:cs="Times New Roman"/>
          <w:sz w:val="24"/>
          <w:szCs w:val="24"/>
        </w:rPr>
        <w:t>. Tali modifiche devono essere notificate alla Commissione. Le modifiche</w:t>
      </w:r>
      <w:r w:rsidR="005F3FD9" w:rsidRPr="00727CA2">
        <w:rPr>
          <w:rFonts w:ascii="Times New Roman" w:hAnsi="Times New Roman" w:cs="Times New Roman"/>
          <w:i/>
          <w:sz w:val="24"/>
          <w:szCs w:val="24"/>
        </w:rPr>
        <w:t xml:space="preserve"> </w:t>
      </w:r>
      <w:r w:rsidR="005F3FD9" w:rsidRPr="00727CA2">
        <w:rPr>
          <w:rFonts w:ascii="Times New Roman" w:hAnsi="Times New Roman" w:cs="Times New Roman"/>
          <w:sz w:val="24"/>
          <w:szCs w:val="24"/>
        </w:rPr>
        <w:t xml:space="preserve">che vanno </w:t>
      </w:r>
      <w:r w:rsidR="00FA042A" w:rsidRPr="00727CA2">
        <w:rPr>
          <w:rFonts w:ascii="Times New Roman" w:hAnsi="Times New Roman" w:cs="Times New Roman"/>
          <w:sz w:val="24"/>
          <w:szCs w:val="24"/>
        </w:rPr>
        <w:t>oltre tali limiti richiedon</w:t>
      </w:r>
      <w:r w:rsidR="005F3FD9" w:rsidRPr="00727CA2">
        <w:rPr>
          <w:rFonts w:ascii="Times New Roman" w:hAnsi="Times New Roman" w:cs="Times New Roman"/>
          <w:sz w:val="24"/>
          <w:szCs w:val="24"/>
        </w:rPr>
        <w:t>o una decisione della Commissione."</w:t>
      </w:r>
    </w:p>
    <w:p w14:paraId="278303B7" w14:textId="32BAF56F" w:rsidR="00727CA2" w:rsidRDefault="00727CA2" w:rsidP="00727CA2">
      <w:pPr>
        <w:spacing w:after="160" w:line="276" w:lineRule="auto"/>
        <w:ind w:left="960"/>
        <w:jc w:val="both"/>
        <w:rPr>
          <w:rFonts w:ascii="Times New Roman" w:hAnsi="Times New Roman" w:cs="Times New Roman"/>
          <w:b/>
          <w:bCs/>
          <w:i/>
          <w:iCs/>
          <w:sz w:val="24"/>
          <w:szCs w:val="24"/>
        </w:rPr>
      </w:pPr>
      <w:r>
        <w:rPr>
          <w:rFonts w:ascii="Times New Roman" w:hAnsi="Times New Roman" w:cs="Times New Roman"/>
          <w:b/>
          <w:bCs/>
          <w:i/>
          <w:iCs/>
          <w:sz w:val="24"/>
          <w:szCs w:val="24"/>
        </w:rPr>
        <w:t>(*</w:t>
      </w:r>
      <w:r w:rsidRPr="00727CA2">
        <w:rPr>
          <w:rFonts w:ascii="Times New Roman" w:hAnsi="Times New Roman" w:cs="Times New Roman"/>
          <w:bCs/>
          <w:iCs/>
          <w:sz w:val="24"/>
          <w:szCs w:val="24"/>
        </w:rPr>
        <w:t>Testo dell’iniziativa CRII adottato e entrato in vigore il 2 aprile 2020):</w:t>
      </w:r>
      <w:r>
        <w:rPr>
          <w:rFonts w:ascii="Times New Roman" w:hAnsi="Times New Roman" w:cs="Times New Roman"/>
          <w:b/>
          <w:bCs/>
          <w:i/>
          <w:iCs/>
          <w:sz w:val="24"/>
          <w:szCs w:val="24"/>
        </w:rPr>
        <w:t xml:space="preserve"> </w:t>
      </w:r>
      <w:r>
        <w:object w:dxaOrig="1508" w:dyaOrig="982" w14:anchorId="42B3C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9" o:title=""/>
          </v:shape>
          <o:OLEObject Type="Embed" ProgID="AcroExch.Document.2017" ShapeID="_x0000_i1025" DrawAspect="Icon" ObjectID="_1648376812" r:id="rId10"/>
        </w:object>
      </w:r>
    </w:p>
    <w:p w14:paraId="2452BF6A" w14:textId="77777777" w:rsidR="00727CA2" w:rsidRPr="00727CA2" w:rsidRDefault="00727CA2" w:rsidP="00727CA2">
      <w:pPr>
        <w:spacing w:after="160" w:line="276" w:lineRule="auto"/>
        <w:ind w:left="960"/>
        <w:jc w:val="both"/>
        <w:rPr>
          <w:rFonts w:ascii="Times New Roman" w:hAnsi="Times New Roman" w:cs="Times New Roman"/>
          <w:b/>
          <w:bCs/>
          <w:i/>
          <w:iCs/>
          <w:sz w:val="24"/>
          <w:szCs w:val="24"/>
        </w:rPr>
      </w:pPr>
    </w:p>
    <w:p w14:paraId="22924346" w14:textId="08CA26EC" w:rsidR="00E06829" w:rsidRDefault="00FA042A">
      <w:pPr>
        <w:numPr>
          <w:ilvl w:val="0"/>
          <w:numId w:val="2"/>
        </w:numPr>
        <w:spacing w:after="160" w:line="276" w:lineRule="auto"/>
        <w:ind w:left="960"/>
        <w:jc w:val="both"/>
        <w:rPr>
          <w:rFonts w:ascii="Times New Roman" w:hAnsi="Times New Roman" w:cs="Times New Roman"/>
          <w:b/>
          <w:bCs/>
          <w:i/>
          <w:iCs/>
          <w:sz w:val="24"/>
          <w:szCs w:val="24"/>
        </w:rPr>
      </w:pPr>
      <w:r>
        <w:rPr>
          <w:rFonts w:ascii="Times New Roman" w:hAnsi="Times New Roman" w:cs="Times New Roman"/>
          <w:b/>
          <w:bCs/>
          <w:i/>
          <w:iCs/>
          <w:sz w:val="24"/>
          <w:szCs w:val="24"/>
        </w:rPr>
        <w:t>Se si fa riferimento all'asse "che cede</w:t>
      </w:r>
      <w:r w:rsidR="005F3FD9">
        <w:rPr>
          <w:rFonts w:ascii="Times New Roman" w:hAnsi="Times New Roman" w:cs="Times New Roman"/>
          <w:b/>
          <w:bCs/>
          <w:i/>
          <w:iCs/>
          <w:sz w:val="24"/>
          <w:szCs w:val="24"/>
        </w:rPr>
        <w:t>", più assi (cias</w:t>
      </w:r>
      <w:r>
        <w:rPr>
          <w:rFonts w:ascii="Times New Roman" w:hAnsi="Times New Roman" w:cs="Times New Roman"/>
          <w:b/>
          <w:bCs/>
          <w:i/>
          <w:iCs/>
          <w:sz w:val="24"/>
          <w:szCs w:val="24"/>
        </w:rPr>
        <w:t>cuno entro il limite dell'8 %) puo assegnare una dotazione ad un singolo asse</w:t>
      </w:r>
      <w:r w:rsidR="005F3FD9">
        <w:rPr>
          <w:rFonts w:ascii="Times New Roman" w:hAnsi="Times New Roman" w:cs="Times New Roman"/>
          <w:b/>
          <w:bCs/>
          <w:i/>
          <w:iCs/>
          <w:sz w:val="24"/>
          <w:szCs w:val="24"/>
        </w:rPr>
        <w:t>?</w:t>
      </w:r>
    </w:p>
    <w:p w14:paraId="176508E1" w14:textId="77777777" w:rsidR="00E06829" w:rsidRPr="008327C6" w:rsidRDefault="00E06829">
      <w:pPr>
        <w:pStyle w:val="ListParagraph"/>
        <w:spacing w:after="160" w:line="276" w:lineRule="auto"/>
        <w:rPr>
          <w:b/>
          <w:i/>
          <w:iCs/>
          <w:szCs w:val="24"/>
          <w:u w:val="single"/>
          <w:lang w:val="it-IT"/>
        </w:rPr>
      </w:pPr>
    </w:p>
    <w:p w14:paraId="5CA0F896" w14:textId="0E4DA02A" w:rsidR="00E06829" w:rsidRDefault="00727CA2">
      <w:pPr>
        <w:pStyle w:val="ListParagraph"/>
        <w:spacing w:after="160" w:line="276" w:lineRule="auto"/>
        <w:rPr>
          <w:b/>
          <w:i/>
          <w:iCs/>
          <w:szCs w:val="24"/>
          <w:u w:val="single"/>
        </w:rPr>
      </w:pPr>
      <w:r>
        <w:rPr>
          <w:b/>
          <w:i/>
          <w:iCs/>
          <w:szCs w:val="24"/>
          <w:u w:val="single"/>
        </w:rPr>
        <w:t>RISPOSTE</w:t>
      </w:r>
    </w:p>
    <w:p w14:paraId="1DBE034C" w14:textId="271CCCE1" w:rsidR="00E06829" w:rsidRDefault="005F3FD9">
      <w:pPr>
        <w:numPr>
          <w:ilvl w:val="0"/>
          <w:numId w:val="3"/>
        </w:numPr>
        <w:spacing w:after="160" w:line="276" w:lineRule="auto"/>
        <w:ind w:left="960" w:hanging="357"/>
        <w:jc w:val="both"/>
        <w:rPr>
          <w:rFonts w:ascii="Times New Roman" w:hAnsi="Times New Roman" w:cs="Times New Roman"/>
          <w:sz w:val="24"/>
          <w:szCs w:val="24"/>
        </w:rPr>
      </w:pPr>
      <w:r>
        <w:rPr>
          <w:rFonts w:ascii="Times New Roman" w:hAnsi="Times New Roman" w:cs="Times New Roman"/>
          <w:sz w:val="24"/>
          <w:szCs w:val="24"/>
        </w:rPr>
        <w:t>Sì, si riferisce all'asse</w:t>
      </w:r>
      <w:r w:rsidR="000F6CCC">
        <w:rPr>
          <w:rFonts w:ascii="Times New Roman" w:hAnsi="Times New Roman" w:cs="Times New Roman"/>
          <w:sz w:val="24"/>
          <w:szCs w:val="24"/>
        </w:rPr>
        <w:t xml:space="preserve"> "che cede</w:t>
      </w:r>
      <w:r>
        <w:rPr>
          <w:rFonts w:ascii="Times New Roman" w:hAnsi="Times New Roman" w:cs="Times New Roman"/>
          <w:sz w:val="24"/>
          <w:szCs w:val="24"/>
        </w:rPr>
        <w:t>".</w:t>
      </w:r>
    </w:p>
    <w:p w14:paraId="19BE0C82" w14:textId="614D20C6" w:rsidR="00E06829" w:rsidRPr="00FA042A" w:rsidRDefault="005F3FD9">
      <w:pPr>
        <w:numPr>
          <w:ilvl w:val="0"/>
          <w:numId w:val="3"/>
        </w:numPr>
        <w:spacing w:after="160" w:line="276" w:lineRule="auto"/>
        <w:ind w:left="960" w:hanging="357"/>
        <w:jc w:val="both"/>
        <w:rPr>
          <w:rFonts w:ascii="Times New Roman" w:hAnsi="Times New Roman" w:cs="Times New Roman"/>
          <w:bCs/>
          <w:sz w:val="24"/>
          <w:szCs w:val="24"/>
          <w:u w:val="single"/>
        </w:rPr>
      </w:pPr>
      <w:r>
        <w:rPr>
          <w:rFonts w:ascii="Times New Roman" w:hAnsi="Times New Roman" w:cs="Times New Roman"/>
          <w:sz w:val="24"/>
          <w:szCs w:val="24"/>
        </w:rPr>
        <w:t>Sì, è stato rispettato</w:t>
      </w:r>
      <w:r w:rsidR="00FA042A">
        <w:rPr>
          <w:rFonts w:ascii="Times New Roman" w:hAnsi="Times New Roman" w:cs="Times New Roman"/>
          <w:sz w:val="24"/>
          <w:szCs w:val="24"/>
        </w:rPr>
        <w:t xml:space="preserve"> il limite del 4 % a livello del </w:t>
      </w:r>
      <w:r>
        <w:rPr>
          <w:rFonts w:ascii="Times New Roman" w:hAnsi="Times New Roman" w:cs="Times New Roman"/>
          <w:sz w:val="24"/>
          <w:szCs w:val="24"/>
        </w:rPr>
        <w:t>PO.</w:t>
      </w:r>
    </w:p>
    <w:p w14:paraId="66EF471C" w14:textId="77777777" w:rsidR="00FA042A" w:rsidRDefault="00FA042A" w:rsidP="00FA042A">
      <w:pPr>
        <w:spacing w:after="160" w:line="276" w:lineRule="auto"/>
        <w:jc w:val="both"/>
        <w:rPr>
          <w:rFonts w:ascii="Times New Roman" w:hAnsi="Times New Roman" w:cs="Times New Roman"/>
          <w:bCs/>
          <w:sz w:val="24"/>
          <w:szCs w:val="24"/>
          <w:u w:val="single"/>
        </w:rPr>
      </w:pPr>
    </w:p>
    <w:p w14:paraId="1E5BB3FA" w14:textId="471AC366" w:rsidR="00E06829" w:rsidRDefault="00E06829">
      <w:pPr>
        <w:pBdr>
          <w:bottom w:val="single" w:sz="6" w:space="1" w:color="auto"/>
        </w:pBdr>
        <w:spacing w:after="160" w:line="276" w:lineRule="auto"/>
        <w:jc w:val="both"/>
        <w:rPr>
          <w:rFonts w:ascii="Times New Roman" w:hAnsi="Times New Roman" w:cs="Times New Roman"/>
          <w:bCs/>
          <w:sz w:val="24"/>
          <w:szCs w:val="24"/>
          <w:u w:val="single"/>
        </w:rPr>
      </w:pPr>
    </w:p>
    <w:p w14:paraId="52D15E49" w14:textId="09FD65D2" w:rsidR="00E06829" w:rsidRDefault="005F3FD9">
      <w:pPr>
        <w:spacing w:after="160" w:line="276"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Domanda </w:t>
      </w:r>
      <w:r>
        <w:rPr>
          <w:rFonts w:ascii="Times New Roman" w:hAnsi="Times New Roman" w:cs="Times New Roman"/>
          <w:b/>
          <w:bCs/>
          <w:sz w:val="32"/>
          <w:szCs w:val="24"/>
          <w:u w:val="single"/>
        </w:rPr>
        <w:t xml:space="preserve"> 4</w:t>
      </w:r>
    </w:p>
    <w:p w14:paraId="451AEBE6" w14:textId="77777777" w:rsidR="00E06829" w:rsidRDefault="005F3FD9">
      <w:pPr>
        <w:spacing w:after="160"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Riprogrammazione: IOG e </w:t>
      </w:r>
    </w:p>
    <w:p w14:paraId="34D8C2C1" w14:textId="77777777" w:rsidR="00E06829" w:rsidRDefault="005F3FD9">
      <w:pPr>
        <w:numPr>
          <w:ilvl w:val="0"/>
          <w:numId w:val="4"/>
        </w:numPr>
        <w:spacing w:after="160" w:line="276" w:lineRule="auto"/>
        <w:ind w:left="960"/>
        <w:jc w:val="both"/>
        <w:rPr>
          <w:rFonts w:ascii="Times New Roman" w:hAnsi="Times New Roman" w:cs="Times New Roman"/>
          <w:b/>
          <w:bCs/>
          <w:i/>
          <w:iCs/>
          <w:sz w:val="24"/>
          <w:szCs w:val="24"/>
        </w:rPr>
      </w:pPr>
      <w:r>
        <w:rPr>
          <w:rFonts w:ascii="Times New Roman" w:hAnsi="Times New Roman" w:cs="Times New Roman"/>
          <w:b/>
          <w:bCs/>
          <w:i/>
          <w:iCs/>
          <w:sz w:val="24"/>
          <w:szCs w:val="24"/>
        </w:rPr>
        <w:t>limite dell'8 % per il trasferimento verso un asse prioritario</w:t>
      </w:r>
    </w:p>
    <w:p w14:paraId="7AB424AD" w14:textId="77777777" w:rsidR="00E06829" w:rsidRDefault="005F3FD9">
      <w:pPr>
        <w:numPr>
          <w:ilvl w:val="0"/>
          <w:numId w:val="4"/>
        </w:numPr>
        <w:spacing w:after="160" w:line="276" w:lineRule="auto"/>
        <w:ind w:left="960"/>
        <w:jc w:val="both"/>
        <w:rPr>
          <w:rFonts w:ascii="Times New Roman" w:hAnsi="Times New Roman" w:cs="Times New Roman"/>
          <w:b/>
          <w:bCs/>
          <w:i/>
          <w:iCs/>
          <w:sz w:val="24"/>
          <w:szCs w:val="24"/>
        </w:rPr>
      </w:pPr>
      <w:r>
        <w:rPr>
          <w:rFonts w:ascii="Times New Roman" w:hAnsi="Times New Roman" w:cs="Times New Roman"/>
          <w:b/>
          <w:bCs/>
          <w:i/>
          <w:iCs/>
          <w:sz w:val="24"/>
          <w:szCs w:val="24"/>
        </w:rPr>
        <w:t>limite del 4 % del bilancio del PO</w:t>
      </w:r>
    </w:p>
    <w:p w14:paraId="6BEFF462" w14:textId="1DE00E48" w:rsidR="00E06829" w:rsidRDefault="005F3FD9">
      <w:pPr>
        <w:spacing w:after="160"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Esistono specifiche specifiche per gli assi </w:t>
      </w:r>
      <w:r w:rsidR="00727CA2">
        <w:rPr>
          <w:rFonts w:ascii="Times New Roman" w:hAnsi="Times New Roman" w:cs="Times New Roman"/>
          <w:b/>
          <w:bCs/>
          <w:i/>
          <w:iCs/>
          <w:sz w:val="24"/>
          <w:szCs w:val="24"/>
        </w:rPr>
        <w:t xml:space="preserve">o per i programmi operativi </w:t>
      </w:r>
      <w:r>
        <w:rPr>
          <w:rFonts w:ascii="Times New Roman" w:hAnsi="Times New Roman" w:cs="Times New Roman"/>
          <w:b/>
          <w:bCs/>
          <w:i/>
          <w:iCs/>
          <w:sz w:val="24"/>
          <w:szCs w:val="24"/>
        </w:rPr>
        <w:t>finanziati dall</w:t>
      </w:r>
      <w:r w:rsidR="00727CA2">
        <w:rPr>
          <w:rFonts w:ascii="Times New Roman" w:hAnsi="Times New Roman" w:cs="Times New Roman"/>
          <w:b/>
          <w:bCs/>
          <w:i/>
          <w:iCs/>
          <w:sz w:val="24"/>
          <w:szCs w:val="24"/>
        </w:rPr>
        <w:t xml:space="preserve">o </w:t>
      </w:r>
      <w:r>
        <w:rPr>
          <w:rFonts w:ascii="Times New Roman" w:hAnsi="Times New Roman" w:cs="Times New Roman"/>
          <w:b/>
          <w:bCs/>
          <w:i/>
          <w:iCs/>
          <w:sz w:val="24"/>
          <w:szCs w:val="24"/>
        </w:rPr>
        <w:t xml:space="preserve">IOG </w:t>
      </w:r>
      <w:r w:rsidR="00727CA2">
        <w:rPr>
          <w:rFonts w:ascii="Times New Roman" w:hAnsi="Times New Roman" w:cs="Times New Roman"/>
          <w:b/>
          <w:bCs/>
          <w:i/>
          <w:iCs/>
          <w:sz w:val="24"/>
          <w:szCs w:val="24"/>
        </w:rPr>
        <w:t xml:space="preserve">per cio’ che riguarda la flessibilità dei punti </w:t>
      </w:r>
      <w:r>
        <w:rPr>
          <w:rFonts w:ascii="Times New Roman" w:hAnsi="Times New Roman" w:cs="Times New Roman"/>
          <w:b/>
          <w:bCs/>
          <w:i/>
          <w:iCs/>
          <w:sz w:val="24"/>
          <w:szCs w:val="24"/>
        </w:rPr>
        <w:t xml:space="preserve"> a) e b)?</w:t>
      </w:r>
    </w:p>
    <w:p w14:paraId="6D8EB6F1" w14:textId="77777777" w:rsidR="00E06829" w:rsidRDefault="005F3FD9">
      <w:pPr>
        <w:spacing w:after="160" w:line="276" w:lineRule="auto"/>
        <w:jc w:val="both"/>
        <w:rPr>
          <w:rFonts w:ascii="Times New Roman" w:hAnsi="Times New Roman" w:cs="Times New Roman"/>
          <w:b/>
          <w:i/>
          <w:iCs/>
          <w:sz w:val="24"/>
          <w:szCs w:val="24"/>
          <w:u w:val="single"/>
        </w:rPr>
      </w:pPr>
      <w:r>
        <w:rPr>
          <w:rFonts w:ascii="Times New Roman" w:hAnsi="Times New Roman" w:cs="Times New Roman"/>
          <w:b/>
          <w:i/>
          <w:iCs/>
          <w:sz w:val="24"/>
          <w:szCs w:val="24"/>
          <w:u w:val="single"/>
        </w:rPr>
        <w:t>RISPOSTA</w:t>
      </w:r>
    </w:p>
    <w:p w14:paraId="0348D161" w14:textId="0B770458" w:rsidR="00E06829" w:rsidRDefault="00727CA2">
      <w:pPr>
        <w:pBdr>
          <w:bottom w:val="single" w:sz="6" w:space="1" w:color="auto"/>
        </w:pBdr>
        <w:spacing w:line="276" w:lineRule="auto"/>
        <w:ind w:left="66"/>
        <w:contextualSpacing/>
        <w:jc w:val="both"/>
        <w:rPr>
          <w:rFonts w:ascii="Times New Roman" w:hAnsi="Times New Roman" w:cs="Times New Roman"/>
          <w:sz w:val="24"/>
          <w:szCs w:val="24"/>
        </w:rPr>
      </w:pPr>
      <w:r>
        <w:rPr>
          <w:rFonts w:ascii="inherit" w:hAnsi="inherit"/>
          <w:color w:val="000000"/>
          <w:shd w:val="clear" w:color="auto" w:fill="FFFFFF"/>
        </w:rPr>
        <w:t xml:space="preserve">Per ciascun asse prioritario il sostegno dell'FSE corrispondente è almeno pari al sostegno della dotazione specifica </w:t>
      </w:r>
      <w:r w:rsidRPr="00727CA2">
        <w:rPr>
          <w:rFonts w:ascii="inherit" w:hAnsi="inherit"/>
          <w:color w:val="000000"/>
          <w:shd w:val="clear" w:color="auto" w:fill="FFFFFF"/>
        </w:rPr>
        <w:t>dell'IOG</w:t>
      </w:r>
      <w:r w:rsidRPr="00727CA2">
        <w:rPr>
          <w:rFonts w:ascii="Times New Roman" w:hAnsi="Times New Roman" w:cs="Times New Roman"/>
          <w:sz w:val="24"/>
          <w:szCs w:val="24"/>
        </w:rPr>
        <w:t xml:space="preserve"> </w:t>
      </w:r>
      <w:r w:rsidR="005F3FD9" w:rsidRPr="00727CA2">
        <w:rPr>
          <w:rFonts w:ascii="Times New Roman" w:hAnsi="Times New Roman" w:cs="Times New Roman"/>
          <w:sz w:val="24"/>
          <w:szCs w:val="24"/>
        </w:rPr>
        <w:t>(artic</w:t>
      </w:r>
      <w:r w:rsidR="005F3FD9">
        <w:rPr>
          <w:rFonts w:ascii="Times New Roman" w:hAnsi="Times New Roman" w:cs="Times New Roman"/>
          <w:sz w:val="24"/>
          <w:szCs w:val="24"/>
        </w:rPr>
        <w:t>olo 22 (1) del regolamento FSE).</w:t>
      </w:r>
      <w:r>
        <w:rPr>
          <w:rFonts w:ascii="Times New Roman" w:hAnsi="Times New Roman" w:cs="Times New Roman"/>
          <w:sz w:val="24"/>
          <w:szCs w:val="24"/>
        </w:rPr>
        <w:t xml:space="preserve"> </w:t>
      </w:r>
      <w:r w:rsidR="005F3FD9">
        <w:rPr>
          <w:rFonts w:ascii="Times New Roman" w:hAnsi="Times New Roman" w:cs="Times New Roman"/>
          <w:sz w:val="24"/>
          <w:szCs w:val="24"/>
        </w:rPr>
        <w:t>La</w:t>
      </w:r>
      <w:r w:rsidR="005F3FD9">
        <w:rPr>
          <w:rFonts w:ascii="Times New Roman" w:hAnsi="Times New Roman" w:cs="Times New Roman"/>
          <w:sz w:val="24"/>
          <w:szCs w:val="24"/>
          <w:u w:val="single"/>
        </w:rPr>
        <w:t xml:space="preserve"> tabella 18a</w:t>
      </w:r>
      <w:r w:rsidR="005F3FD9">
        <w:rPr>
          <w:rFonts w:ascii="Times New Roman" w:hAnsi="Times New Roman" w:cs="Times New Roman"/>
          <w:sz w:val="24"/>
          <w:szCs w:val="24"/>
        </w:rPr>
        <w:t xml:space="preserve"> del modello di programma (la tabella finanziaria con gli assi prioritari di un programma) include per un </w:t>
      </w:r>
      <w:r w:rsidR="005F3FD9">
        <w:rPr>
          <w:rFonts w:ascii="Times New Roman" w:hAnsi="Times New Roman" w:cs="Times New Roman"/>
          <w:sz w:val="24"/>
          <w:szCs w:val="24"/>
          <w:u w:val="single"/>
        </w:rPr>
        <w:t>asse prioritario IOG</w:t>
      </w:r>
      <w:r w:rsidR="005F3FD9">
        <w:rPr>
          <w:rFonts w:ascii="Times New Roman" w:hAnsi="Times New Roman" w:cs="Times New Roman"/>
          <w:sz w:val="24"/>
          <w:szCs w:val="24"/>
        </w:rPr>
        <w:t xml:space="preserve"> un </w:t>
      </w:r>
      <w:r w:rsidR="005F3FD9">
        <w:rPr>
          <w:rFonts w:ascii="Times New Roman" w:hAnsi="Times New Roman" w:cs="Times New Roman"/>
          <w:sz w:val="24"/>
          <w:szCs w:val="24"/>
          <w:u w:val="single"/>
        </w:rPr>
        <w:t xml:space="preserve">importo unico che comprende </w:t>
      </w:r>
      <w:r>
        <w:rPr>
          <w:rFonts w:ascii="Times New Roman" w:hAnsi="Times New Roman" w:cs="Times New Roman"/>
          <w:sz w:val="24"/>
          <w:szCs w:val="24"/>
          <w:u w:val="single"/>
        </w:rPr>
        <w:t xml:space="preserve">sia la dotazione specifica </w:t>
      </w:r>
      <w:r w:rsidR="005F3FD9">
        <w:rPr>
          <w:rFonts w:ascii="Times New Roman" w:hAnsi="Times New Roman" w:cs="Times New Roman"/>
          <w:sz w:val="24"/>
          <w:szCs w:val="24"/>
          <w:u w:val="single"/>
        </w:rPr>
        <w:t>IOG sia il sostegno integrativo del FSE</w:t>
      </w:r>
      <w:r w:rsidR="005F3FD9">
        <w:rPr>
          <w:rFonts w:ascii="Times New Roman" w:hAnsi="Times New Roman" w:cs="Times New Roman"/>
          <w:sz w:val="24"/>
          <w:szCs w:val="24"/>
        </w:rPr>
        <w:t>.</w:t>
      </w:r>
      <w:r>
        <w:rPr>
          <w:rFonts w:ascii="Times New Roman" w:hAnsi="Times New Roman" w:cs="Times New Roman"/>
          <w:sz w:val="24"/>
          <w:szCs w:val="24"/>
        </w:rPr>
        <w:t xml:space="preserve"> </w:t>
      </w:r>
      <w:r w:rsidR="005F3FD9">
        <w:rPr>
          <w:rFonts w:ascii="Times New Roman" w:hAnsi="Times New Roman" w:cs="Times New Roman"/>
          <w:sz w:val="24"/>
          <w:szCs w:val="24"/>
        </w:rPr>
        <w:t xml:space="preserve">Poiché i trasferimenti ai sensi dell'articolo 30, paragrafo 5, </w:t>
      </w:r>
      <w:r w:rsidR="005F3FD9">
        <w:rPr>
          <w:rFonts w:ascii="Times New Roman" w:hAnsi="Times New Roman" w:cs="Times New Roman"/>
          <w:sz w:val="24"/>
          <w:szCs w:val="24"/>
        </w:rPr>
        <w:lastRenderedPageBreak/>
        <w:t xml:space="preserve">dell'RDC sono possibili solo all'interno dello stesso fondo e l'IOG è considerata un Fondo (in quanto vi è un unico importo nell'asse prioritario), tale trasferimento </w:t>
      </w:r>
      <w:r>
        <w:rPr>
          <w:rFonts w:ascii="Times New Roman" w:hAnsi="Times New Roman" w:cs="Times New Roman"/>
          <w:sz w:val="24"/>
          <w:szCs w:val="24"/>
        </w:rPr>
        <w:t xml:space="preserve">tale trasferimento </w:t>
      </w:r>
      <w:r w:rsidR="005F3FD9">
        <w:rPr>
          <w:rFonts w:ascii="Times New Roman" w:hAnsi="Times New Roman" w:cs="Times New Roman"/>
          <w:sz w:val="24"/>
          <w:szCs w:val="24"/>
        </w:rPr>
        <w:t xml:space="preserve">è possibile a un altro asse prioritario IOG contenuto nel programma, se </w:t>
      </w:r>
      <w:r>
        <w:rPr>
          <w:rFonts w:ascii="Times New Roman" w:hAnsi="Times New Roman" w:cs="Times New Roman"/>
          <w:sz w:val="24"/>
          <w:szCs w:val="24"/>
        </w:rPr>
        <w:t>presente</w:t>
      </w:r>
      <w:r w:rsidR="005F3FD9">
        <w:rPr>
          <w:rFonts w:ascii="Times New Roman" w:hAnsi="Times New Roman" w:cs="Times New Roman"/>
          <w:sz w:val="24"/>
          <w:szCs w:val="24"/>
        </w:rPr>
        <w:t xml:space="preserve">. </w:t>
      </w:r>
    </w:p>
    <w:p w14:paraId="427ACEB0" w14:textId="3BE6A2E1" w:rsidR="00E06829" w:rsidRDefault="005F3FD9">
      <w:pPr>
        <w:spacing w:after="160" w:line="276"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Domanda </w:t>
      </w:r>
      <w:r>
        <w:rPr>
          <w:rFonts w:ascii="Times New Roman" w:hAnsi="Times New Roman" w:cs="Times New Roman"/>
          <w:b/>
          <w:bCs/>
          <w:sz w:val="32"/>
          <w:szCs w:val="24"/>
          <w:u w:val="single"/>
        </w:rPr>
        <w:t xml:space="preserve"> 5</w:t>
      </w:r>
    </w:p>
    <w:p w14:paraId="7C57FE17" w14:textId="197EE365" w:rsidR="00E06829" w:rsidRDefault="005F3FD9">
      <w:pPr>
        <w:spacing w:after="160"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Una serie di attività </w:t>
      </w:r>
      <w:r w:rsidR="00A674C6">
        <w:rPr>
          <w:rFonts w:ascii="Times New Roman" w:hAnsi="Times New Roman" w:cs="Times New Roman"/>
          <w:b/>
          <w:bCs/>
          <w:i/>
          <w:iCs/>
          <w:sz w:val="24"/>
          <w:szCs w:val="24"/>
        </w:rPr>
        <w:t>di formazione è stata sospesa, all’interno di</w:t>
      </w:r>
      <w:r>
        <w:rPr>
          <w:rFonts w:ascii="Times New Roman" w:hAnsi="Times New Roman" w:cs="Times New Roman"/>
          <w:b/>
          <w:bCs/>
          <w:i/>
          <w:iCs/>
          <w:sz w:val="24"/>
          <w:szCs w:val="24"/>
        </w:rPr>
        <w:t xml:space="preserve"> priorità diverse rispetto al 9iv, al fine di limitare la diffusione del virus.</w:t>
      </w:r>
    </w:p>
    <w:p w14:paraId="56BBB57C" w14:textId="77777777" w:rsidR="00E06829" w:rsidRDefault="005F3FD9">
      <w:pPr>
        <w:spacing w:after="160"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Se le norme nazionali di ammissibilità lo consentono, possono i rispettivi costi</w:t>
      </w:r>
    </w:p>
    <w:p w14:paraId="7A2E3D12" w14:textId="6EA0A146" w:rsidR="00E06829" w:rsidRDefault="00A674C6">
      <w:pPr>
        <w:numPr>
          <w:ilvl w:val="0"/>
          <w:numId w:val="6"/>
        </w:numPr>
        <w:spacing w:after="160" w:line="276" w:lineRule="auto"/>
        <w:ind w:left="960"/>
        <w:jc w:val="both"/>
        <w:rPr>
          <w:rFonts w:ascii="Times New Roman" w:hAnsi="Times New Roman" w:cs="Times New Roman"/>
          <w:b/>
          <w:bCs/>
          <w:i/>
          <w:iCs/>
          <w:sz w:val="24"/>
          <w:szCs w:val="24"/>
        </w:rPr>
      </w:pPr>
      <w:r>
        <w:rPr>
          <w:rFonts w:ascii="Times New Roman" w:hAnsi="Times New Roman" w:cs="Times New Roman"/>
          <w:b/>
          <w:bCs/>
          <w:i/>
          <w:iCs/>
          <w:sz w:val="24"/>
          <w:szCs w:val="24"/>
        </w:rPr>
        <w:t>essere</w:t>
      </w:r>
      <w:r w:rsidR="005F3FD9">
        <w:rPr>
          <w:rFonts w:ascii="Times New Roman" w:hAnsi="Times New Roman" w:cs="Times New Roman"/>
          <w:b/>
          <w:bCs/>
          <w:i/>
          <w:iCs/>
          <w:sz w:val="24"/>
          <w:szCs w:val="24"/>
        </w:rPr>
        <w:t xml:space="preserve"> ammissibili?</w:t>
      </w:r>
    </w:p>
    <w:p w14:paraId="5AE9D260" w14:textId="2382E809" w:rsidR="00E06829" w:rsidRDefault="005F3FD9">
      <w:pPr>
        <w:numPr>
          <w:ilvl w:val="0"/>
          <w:numId w:val="6"/>
        </w:numPr>
        <w:spacing w:after="160" w:line="276" w:lineRule="auto"/>
        <w:ind w:left="96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In caso affermativo, </w:t>
      </w:r>
      <w:r w:rsidR="00A674C6">
        <w:rPr>
          <w:rFonts w:ascii="Times New Roman" w:hAnsi="Times New Roman" w:cs="Times New Roman"/>
          <w:b/>
          <w:bCs/>
          <w:i/>
          <w:iCs/>
          <w:sz w:val="24"/>
          <w:szCs w:val="24"/>
        </w:rPr>
        <w:t>all’interno di quale priorità</w:t>
      </w:r>
      <w:r>
        <w:rPr>
          <w:rFonts w:ascii="Times New Roman" w:hAnsi="Times New Roman" w:cs="Times New Roman"/>
          <w:b/>
          <w:bCs/>
          <w:i/>
          <w:iCs/>
          <w:sz w:val="24"/>
          <w:szCs w:val="24"/>
        </w:rPr>
        <w:t>?</w:t>
      </w:r>
    </w:p>
    <w:p w14:paraId="210C149A" w14:textId="77777777" w:rsidR="00E06829" w:rsidRPr="008327C6" w:rsidRDefault="005F3FD9">
      <w:pPr>
        <w:pStyle w:val="ListParagraph"/>
        <w:spacing w:after="160" w:line="276" w:lineRule="auto"/>
        <w:ind w:left="0"/>
        <w:rPr>
          <w:b/>
          <w:i/>
          <w:iCs/>
          <w:szCs w:val="24"/>
          <w:u w:val="single"/>
          <w:lang w:val="it-IT"/>
        </w:rPr>
      </w:pPr>
      <w:r w:rsidRPr="008327C6">
        <w:rPr>
          <w:b/>
          <w:i/>
          <w:iCs/>
          <w:szCs w:val="24"/>
          <w:u w:val="single"/>
          <w:lang w:val="it-IT"/>
        </w:rPr>
        <w:t>RISPOSTA</w:t>
      </w:r>
    </w:p>
    <w:p w14:paraId="7B37126D" w14:textId="16C9F656" w:rsidR="00E06829" w:rsidRDefault="005F3FD9">
      <w:pPr>
        <w:spacing w:after="160" w:line="276" w:lineRule="auto"/>
        <w:jc w:val="both"/>
        <w:rPr>
          <w:rFonts w:ascii="Times New Roman" w:hAnsi="Times New Roman" w:cs="Times New Roman"/>
          <w:bCs/>
          <w:i/>
          <w:iCs/>
          <w:sz w:val="24"/>
          <w:szCs w:val="24"/>
        </w:rPr>
      </w:pPr>
      <w:r>
        <w:rPr>
          <w:rFonts w:ascii="Times New Roman" w:hAnsi="Times New Roman" w:cs="Times New Roman"/>
          <w:bCs/>
          <w:iCs/>
          <w:sz w:val="24"/>
          <w:szCs w:val="24"/>
        </w:rPr>
        <w:t xml:space="preserve">Cfr. le risposte già fornite sulla </w:t>
      </w:r>
      <w:hyperlink r:id="rId11" w:history="1">
        <w:r>
          <w:rPr>
            <w:rStyle w:val="Hyperlink"/>
            <w:rFonts w:ascii="Times New Roman" w:hAnsi="Times New Roman" w:cs="Times New Roman"/>
            <w:bCs/>
            <w:iCs/>
            <w:sz w:val="24"/>
            <w:szCs w:val="24"/>
          </w:rPr>
          <w:t>piattaforma CRII</w:t>
        </w:r>
      </w:hyperlink>
      <w:r>
        <w:rPr>
          <w:rFonts w:ascii="Times New Roman" w:hAnsi="Times New Roman" w:cs="Times New Roman"/>
          <w:bCs/>
          <w:i/>
          <w:iCs/>
          <w:sz w:val="24"/>
          <w:szCs w:val="24"/>
        </w:rPr>
        <w:t xml:space="preserve">: Casi di forza maggiore </w:t>
      </w:r>
    </w:p>
    <w:p w14:paraId="37FED2FC" w14:textId="77777777" w:rsidR="003226F4" w:rsidRPr="003226F4" w:rsidRDefault="005F3FD9" w:rsidP="003226F4">
      <w:pPr>
        <w:spacing w:after="160" w:line="276" w:lineRule="auto"/>
        <w:jc w:val="both"/>
        <w:rPr>
          <w:rFonts w:ascii="Times New Roman" w:hAnsi="Times New Roman" w:cs="Times New Roman"/>
          <w:bCs/>
          <w:i/>
          <w:iCs/>
          <w:sz w:val="24"/>
          <w:szCs w:val="24"/>
          <w:lang w:val="it-IT"/>
        </w:rPr>
      </w:pPr>
      <w:r>
        <w:rPr>
          <w:rStyle w:val="expand-control-text"/>
          <w:rFonts w:ascii="Times New Roman" w:hAnsi="Times New Roman" w:cs="Times New Roman"/>
          <w:i/>
          <w:sz w:val="24"/>
          <w:szCs w:val="24"/>
        </w:rPr>
        <w:t xml:space="preserve">Ammissibilità delle spese </w:t>
      </w:r>
      <w:r w:rsidR="00A674C6">
        <w:rPr>
          <w:rStyle w:val="expand-control-text"/>
          <w:rFonts w:ascii="Times New Roman" w:hAnsi="Times New Roman" w:cs="Times New Roman"/>
          <w:i/>
          <w:sz w:val="24"/>
          <w:szCs w:val="24"/>
        </w:rPr>
        <w:t xml:space="preserve">– Generale </w:t>
      </w:r>
      <w:r w:rsidR="003226F4">
        <w:rPr>
          <w:rStyle w:val="expand-control-text"/>
          <w:rFonts w:ascii="Times New Roman" w:hAnsi="Times New Roman" w:cs="Times New Roman"/>
          <w:i/>
          <w:sz w:val="24"/>
          <w:szCs w:val="24"/>
        </w:rPr>
        <w:t>(</w:t>
      </w:r>
      <w:r w:rsidR="003226F4" w:rsidRPr="003226F4">
        <w:rPr>
          <w:rFonts w:ascii="Times New Roman" w:hAnsi="Times New Roman" w:cs="Times New Roman"/>
          <w:bCs/>
          <w:i/>
          <w:iCs/>
          <w:sz w:val="24"/>
          <w:szCs w:val="24"/>
          <w:lang w:val="it-IT"/>
        </w:rPr>
        <w:t>COVID-19 and force majeure,</w:t>
      </w:r>
    </w:p>
    <w:p w14:paraId="45F0E8CF" w14:textId="3ADD7D5D" w:rsidR="003226F4" w:rsidRDefault="003226F4" w:rsidP="003226F4">
      <w:pPr>
        <w:pBdr>
          <w:bottom w:val="single" w:sz="6" w:space="1" w:color="auto"/>
        </w:pBdr>
        <w:spacing w:after="160" w:line="276" w:lineRule="auto"/>
        <w:jc w:val="both"/>
        <w:rPr>
          <w:rStyle w:val="expand-control-text"/>
          <w:rFonts w:ascii="Times New Roman" w:hAnsi="Times New Roman" w:cs="Times New Roman"/>
          <w:i/>
          <w:sz w:val="24"/>
          <w:szCs w:val="24"/>
          <w:lang w:val="en-GB"/>
        </w:rPr>
      </w:pPr>
      <w:r w:rsidRPr="007A70E1">
        <w:rPr>
          <w:rStyle w:val="expand-control-text"/>
          <w:rFonts w:ascii="Times New Roman" w:hAnsi="Times New Roman" w:cs="Times New Roman"/>
          <w:i/>
          <w:sz w:val="24"/>
          <w:szCs w:val="24"/>
          <w:lang w:val="en-GB"/>
        </w:rPr>
        <w:t xml:space="preserve">Eligibility of expenditure affected in operations </w:t>
      </w:r>
      <w:r>
        <w:rPr>
          <w:rStyle w:val="expand-control-text"/>
          <w:rFonts w:ascii="Times New Roman" w:hAnsi="Times New Roman" w:cs="Times New Roman"/>
          <w:i/>
          <w:sz w:val="24"/>
          <w:szCs w:val="24"/>
          <w:lang w:val="en-GB"/>
        </w:rPr>
        <w:t>–</w:t>
      </w:r>
      <w:r w:rsidRPr="007A70E1">
        <w:rPr>
          <w:rStyle w:val="expand-control-text"/>
          <w:rFonts w:ascii="Times New Roman" w:hAnsi="Times New Roman" w:cs="Times New Roman"/>
          <w:i/>
          <w:sz w:val="24"/>
          <w:szCs w:val="24"/>
          <w:lang w:val="en-GB"/>
        </w:rPr>
        <w:t xml:space="preserve"> General</w:t>
      </w:r>
      <w:r>
        <w:rPr>
          <w:rStyle w:val="expand-control-text"/>
          <w:rFonts w:ascii="Times New Roman" w:hAnsi="Times New Roman" w:cs="Times New Roman"/>
          <w:i/>
          <w:sz w:val="24"/>
          <w:szCs w:val="24"/>
          <w:lang w:val="en-GB"/>
        </w:rPr>
        <w:t>)</w:t>
      </w:r>
    </w:p>
    <w:p w14:paraId="59D57CA1" w14:textId="23EE5339" w:rsidR="00E06829" w:rsidRPr="003226F4" w:rsidRDefault="00E06829">
      <w:pPr>
        <w:pBdr>
          <w:bottom w:val="single" w:sz="6" w:space="1" w:color="auto"/>
        </w:pBdr>
        <w:spacing w:after="160" w:line="276" w:lineRule="auto"/>
        <w:jc w:val="both"/>
        <w:rPr>
          <w:rStyle w:val="expand-control-text"/>
          <w:rFonts w:ascii="Times New Roman" w:hAnsi="Times New Roman" w:cs="Times New Roman"/>
          <w:i/>
          <w:sz w:val="24"/>
          <w:szCs w:val="24"/>
          <w:lang w:val="en-GB"/>
        </w:rPr>
      </w:pPr>
    </w:p>
    <w:p w14:paraId="6FCD2727" w14:textId="77777777" w:rsidR="00E06829" w:rsidRDefault="00E06829">
      <w:pPr>
        <w:spacing w:after="160" w:line="276" w:lineRule="auto"/>
        <w:jc w:val="both"/>
        <w:rPr>
          <w:rFonts w:ascii="Times New Roman" w:hAnsi="Times New Roman" w:cs="Times New Roman"/>
          <w:bCs/>
          <w:i/>
          <w:iCs/>
          <w:sz w:val="24"/>
          <w:szCs w:val="24"/>
        </w:rPr>
      </w:pPr>
    </w:p>
    <w:p w14:paraId="164EA0C0" w14:textId="513A398C" w:rsidR="00E06829" w:rsidRPr="003226F4" w:rsidRDefault="005F3FD9">
      <w:pPr>
        <w:spacing w:after="160" w:line="276" w:lineRule="auto"/>
        <w:jc w:val="both"/>
        <w:rPr>
          <w:rFonts w:ascii="Times New Roman" w:hAnsi="Times New Roman" w:cs="Times New Roman"/>
          <w:b/>
          <w:bCs/>
          <w:sz w:val="32"/>
          <w:szCs w:val="24"/>
          <w:u w:val="single"/>
        </w:rPr>
      </w:pPr>
      <w:r w:rsidRPr="003226F4">
        <w:rPr>
          <w:rFonts w:ascii="Times New Roman" w:hAnsi="Times New Roman" w:cs="Times New Roman"/>
          <w:b/>
          <w:bCs/>
          <w:sz w:val="24"/>
          <w:szCs w:val="24"/>
          <w:u w:val="single"/>
        </w:rPr>
        <w:t xml:space="preserve">Domanda </w:t>
      </w:r>
      <w:r w:rsidRPr="003226F4">
        <w:rPr>
          <w:rFonts w:ascii="Times New Roman" w:hAnsi="Times New Roman" w:cs="Times New Roman"/>
          <w:b/>
          <w:bCs/>
          <w:sz w:val="32"/>
          <w:szCs w:val="24"/>
          <w:u w:val="single"/>
        </w:rPr>
        <w:t xml:space="preserve"> 6</w:t>
      </w:r>
    </w:p>
    <w:p w14:paraId="6AEA14BD" w14:textId="77777777" w:rsidR="00056CB6" w:rsidRPr="0042314A" w:rsidRDefault="00056CB6">
      <w:pPr>
        <w:pStyle w:val="ListParagraph"/>
        <w:spacing w:after="160" w:line="276" w:lineRule="auto"/>
        <w:ind w:left="0"/>
        <w:rPr>
          <w:rFonts w:eastAsiaTheme="minorHAnsi"/>
          <w:b/>
          <w:bCs/>
          <w:i/>
          <w:iCs/>
          <w:szCs w:val="24"/>
          <w:lang w:val="nl-BE" w:eastAsia="en-US"/>
        </w:rPr>
      </w:pPr>
      <w:r w:rsidRPr="0042314A">
        <w:rPr>
          <w:rFonts w:eastAsiaTheme="minorHAnsi"/>
          <w:b/>
          <w:bCs/>
          <w:i/>
          <w:iCs/>
          <w:szCs w:val="24"/>
          <w:lang w:val="nl-BE" w:eastAsia="en-US"/>
        </w:rPr>
        <w:t>In alcune zone gli hotel sono utilizzati per ospitare persone positive al Coronavirus che non hanno bisogno di cure ospedaliere. Le spese, come la fornitura di pasti o altri servizi per queste persone, sono ammissibili al FSE?</w:t>
      </w:r>
    </w:p>
    <w:p w14:paraId="2EE2AD71" w14:textId="77777777" w:rsidR="00056CB6" w:rsidRPr="0042314A" w:rsidRDefault="00056CB6">
      <w:pPr>
        <w:pStyle w:val="ListParagraph"/>
        <w:spacing w:after="160" w:line="276" w:lineRule="auto"/>
        <w:ind w:left="0"/>
        <w:rPr>
          <w:rFonts w:eastAsiaTheme="minorHAnsi"/>
          <w:b/>
          <w:bCs/>
          <w:i/>
          <w:iCs/>
          <w:szCs w:val="24"/>
          <w:lang w:val="nl-BE" w:eastAsia="en-US"/>
        </w:rPr>
      </w:pPr>
    </w:p>
    <w:p w14:paraId="47A48031" w14:textId="680BFC80" w:rsidR="00E06829" w:rsidRPr="0042314A" w:rsidRDefault="005F3FD9">
      <w:pPr>
        <w:pStyle w:val="ListParagraph"/>
        <w:spacing w:after="160" w:line="276" w:lineRule="auto"/>
        <w:ind w:left="0"/>
        <w:rPr>
          <w:b/>
          <w:i/>
          <w:iCs/>
          <w:szCs w:val="24"/>
          <w:u w:val="single"/>
          <w:lang w:val="it-IT"/>
        </w:rPr>
      </w:pPr>
      <w:r w:rsidRPr="0042314A">
        <w:rPr>
          <w:b/>
          <w:i/>
          <w:iCs/>
          <w:szCs w:val="24"/>
          <w:u w:val="single"/>
          <w:lang w:val="it-IT"/>
        </w:rPr>
        <w:t>RISPOSTA</w:t>
      </w:r>
    </w:p>
    <w:p w14:paraId="7A01C213" w14:textId="2205E153" w:rsidR="00056CB6" w:rsidRPr="0042314A" w:rsidRDefault="00056CB6" w:rsidP="00056CB6">
      <w:pPr>
        <w:pStyle w:val="xmsonormal"/>
        <w:spacing w:before="240" w:beforeAutospacing="0" w:after="240" w:afterAutospacing="0" w:line="276" w:lineRule="auto"/>
        <w:jc w:val="both"/>
      </w:pPr>
      <w:r w:rsidRPr="0042314A">
        <w:t xml:space="preserve">Le </w:t>
      </w:r>
      <w:r w:rsidRPr="0042314A">
        <w:rPr>
          <w:b/>
        </w:rPr>
        <w:t>operazioni</w:t>
      </w:r>
      <w:r w:rsidRPr="0042314A">
        <w:t xml:space="preserve"> possono essere selezionate a condizione che </w:t>
      </w:r>
      <w:r w:rsidRPr="0042314A">
        <w:rPr>
          <w:b/>
        </w:rPr>
        <w:t>contribuiscano al raggiungimento degli obiettivi specifici che gli Stati Membri hanno definito per le priorità di investimento</w:t>
      </w:r>
      <w:r w:rsidRPr="0042314A">
        <w:t xml:space="preserve"> individuate  nel Programma Operativo. Queste operazioni sono necessarie per limitare la propagazione del virus, in modo da evitare che il collasso del sistema sanitario comprometta l'accesso ai servizi sanitari. Queste operazioni sono ammissibili ai sensi della </w:t>
      </w:r>
      <w:r w:rsidR="00B00F64">
        <w:t xml:space="preserve">priorità di investimento </w:t>
      </w:r>
      <w:r w:rsidRPr="0042314A">
        <w:t xml:space="preserve"> 9iv ("accesso ai servizi").</w:t>
      </w:r>
    </w:p>
    <w:p w14:paraId="307F5175" w14:textId="02CA6B3F" w:rsidR="00056CB6" w:rsidRPr="0042314A" w:rsidRDefault="00056CB6" w:rsidP="00056CB6">
      <w:pPr>
        <w:pStyle w:val="xmsonormal"/>
        <w:spacing w:before="240" w:beforeAutospacing="0" w:after="240" w:afterAutospacing="0" w:line="276" w:lineRule="auto"/>
        <w:jc w:val="both"/>
        <w:rPr>
          <w:lang w:val="it-IT"/>
        </w:rPr>
      </w:pPr>
      <w:r w:rsidRPr="0042314A">
        <w:rPr>
          <w:b/>
        </w:rPr>
        <w:t>Le norme di ammissibilità del FSE sono nazionali</w:t>
      </w:r>
      <w:r w:rsidRPr="0042314A">
        <w:rPr>
          <w:rStyle w:val="FootnoteReference"/>
          <w:rFonts w:ascii="Times New Roman" w:hAnsi="Times New Roman"/>
          <w:szCs w:val="16"/>
        </w:rPr>
        <w:footnoteReference w:id="1"/>
      </w:r>
      <w:r w:rsidRPr="0042314A">
        <w:t>:</w:t>
      </w:r>
      <w:r w:rsidRPr="0042314A">
        <w:rPr>
          <w:rFonts w:ascii="Calibri" w:hAnsi="Calibri" w:cs="Calibri"/>
          <w:color w:val="1F497D"/>
          <w:sz w:val="22"/>
          <w:szCs w:val="22"/>
          <w:lang w:val="it-IT" w:eastAsia="en-US"/>
        </w:rPr>
        <w:t xml:space="preserve"> </w:t>
      </w:r>
      <w:r w:rsidRPr="0042314A">
        <w:t>le norme nazionali di ammissibilità del FSE dovrebbero determinare ciò che è ammissibile. Gli Stati membri dispongono di un'ampia flessibilità nella definizione dei costi ammissibili delle azioni. Queste norme nazionali di ammissibilità devono essere conformi all'insieme molto limitato di norme di ammissibilità a livello dell'UE (nel regolamento sulle disposizioni comuni e nel regolamento FSE).</w:t>
      </w:r>
    </w:p>
    <w:p w14:paraId="1F64C767" w14:textId="4BF396D0" w:rsidR="00056CB6" w:rsidRDefault="00056CB6" w:rsidP="00056CB6">
      <w:pPr>
        <w:jc w:val="both"/>
        <w:rPr>
          <w:color w:val="1F497D"/>
          <w:lang w:val="it-IT"/>
        </w:rPr>
      </w:pPr>
      <w:r w:rsidRPr="0042314A">
        <w:rPr>
          <w:rFonts w:ascii="Times New Roman" w:eastAsia="Times New Roman" w:hAnsi="Times New Roman" w:cs="Times New Roman"/>
          <w:sz w:val="24"/>
          <w:szCs w:val="24"/>
          <w:lang w:eastAsia="nl-BE"/>
        </w:rPr>
        <w:lastRenderedPageBreak/>
        <w:t>Nel caso della contestuale presenza di un numero di PO che intervengono nella stessa area geografica, si deve prestare attenzione ad evitare sovrapposizioni e a tener conto alla tipologia di  partecipanti identificati in ciascuno di essi (ad esempio, se alcuni di essi prevedono come target i soggetti più svantaggiati).</w:t>
      </w:r>
    </w:p>
    <w:p w14:paraId="41B40D88" w14:textId="77777777" w:rsidR="00056CB6" w:rsidRDefault="00056CB6">
      <w:pPr>
        <w:pBdr>
          <w:bottom w:val="single" w:sz="6" w:space="1" w:color="auto"/>
        </w:pBdr>
        <w:spacing w:after="360" w:line="276" w:lineRule="auto"/>
        <w:ind w:left="2"/>
        <w:jc w:val="both"/>
        <w:rPr>
          <w:rFonts w:ascii="Times New Roman" w:hAnsi="Times New Roman" w:cs="Times New Roman"/>
          <w:sz w:val="24"/>
          <w:szCs w:val="24"/>
        </w:rPr>
      </w:pPr>
    </w:p>
    <w:p w14:paraId="04576C0A" w14:textId="5DDD3146" w:rsidR="00E06829" w:rsidRDefault="005F3FD9">
      <w:pPr>
        <w:spacing w:after="160" w:line="276"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Domanda </w:t>
      </w:r>
      <w:r>
        <w:rPr>
          <w:rFonts w:ascii="Times New Roman" w:hAnsi="Times New Roman" w:cs="Times New Roman"/>
          <w:b/>
          <w:bCs/>
          <w:sz w:val="32"/>
          <w:szCs w:val="24"/>
          <w:u w:val="single"/>
        </w:rPr>
        <w:t xml:space="preserve"> 7</w:t>
      </w:r>
    </w:p>
    <w:p w14:paraId="28D8649F" w14:textId="57823EAF" w:rsidR="00E06829" w:rsidRDefault="007214A6">
      <w:pPr>
        <w:spacing w:after="160"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I </w:t>
      </w:r>
      <w:r w:rsidR="005F3FD9">
        <w:rPr>
          <w:rFonts w:ascii="Times New Roman" w:hAnsi="Times New Roman" w:cs="Times New Roman"/>
          <w:b/>
          <w:bCs/>
          <w:i/>
          <w:iCs/>
          <w:sz w:val="24"/>
          <w:szCs w:val="24"/>
        </w:rPr>
        <w:t>costi connessi al</w:t>
      </w:r>
      <w:r w:rsidR="00EC20BA">
        <w:rPr>
          <w:rFonts w:ascii="Times New Roman" w:hAnsi="Times New Roman" w:cs="Times New Roman"/>
          <w:b/>
          <w:bCs/>
          <w:i/>
          <w:iCs/>
          <w:sz w:val="24"/>
          <w:szCs w:val="24"/>
        </w:rPr>
        <w:t>l’igienizzazione</w:t>
      </w:r>
      <w:r w:rsidR="005F3FD9">
        <w:rPr>
          <w:rFonts w:ascii="Times New Roman" w:hAnsi="Times New Roman" w:cs="Times New Roman"/>
          <w:b/>
          <w:bCs/>
          <w:i/>
          <w:iCs/>
          <w:sz w:val="24"/>
          <w:szCs w:val="24"/>
        </w:rPr>
        <w:t xml:space="preserve"> di spazi pubblici (ad esempio scuole, uffici amministrativi locali) quali attrezzature, macchinari e prodotti</w:t>
      </w:r>
      <w:r w:rsidRPr="007214A6">
        <w:rPr>
          <w:rFonts w:ascii="Times New Roman" w:hAnsi="Times New Roman" w:cs="Times New Roman"/>
          <w:b/>
          <w:bCs/>
          <w:i/>
          <w:iCs/>
          <w:sz w:val="24"/>
          <w:szCs w:val="24"/>
        </w:rPr>
        <w:t xml:space="preserve"> </w:t>
      </w:r>
      <w:r>
        <w:rPr>
          <w:rFonts w:ascii="Times New Roman" w:hAnsi="Times New Roman" w:cs="Times New Roman"/>
          <w:b/>
          <w:bCs/>
          <w:i/>
          <w:iCs/>
          <w:sz w:val="24"/>
          <w:szCs w:val="24"/>
        </w:rPr>
        <w:t>possono essere ammissibili per un supporto FSE</w:t>
      </w:r>
      <w:r w:rsidR="005F3FD9">
        <w:rPr>
          <w:rFonts w:ascii="Times New Roman" w:hAnsi="Times New Roman" w:cs="Times New Roman"/>
          <w:color w:val="1F497D"/>
          <w:sz w:val="24"/>
          <w:szCs w:val="24"/>
        </w:rPr>
        <w:t>?</w:t>
      </w:r>
    </w:p>
    <w:p w14:paraId="39A41212" w14:textId="77777777" w:rsidR="00E06829" w:rsidRPr="008327C6" w:rsidRDefault="005F3FD9">
      <w:pPr>
        <w:pStyle w:val="ListParagraph"/>
        <w:spacing w:after="160" w:line="276" w:lineRule="auto"/>
        <w:ind w:left="0"/>
        <w:rPr>
          <w:b/>
          <w:i/>
          <w:iCs/>
          <w:szCs w:val="24"/>
          <w:u w:val="single"/>
          <w:lang w:val="it-IT"/>
        </w:rPr>
      </w:pPr>
      <w:r w:rsidRPr="008327C6">
        <w:rPr>
          <w:b/>
          <w:i/>
          <w:iCs/>
          <w:szCs w:val="24"/>
          <w:u w:val="single"/>
          <w:lang w:val="it-IT"/>
        </w:rPr>
        <w:t>RISPOSTA</w:t>
      </w:r>
    </w:p>
    <w:p w14:paraId="552D8D2A" w14:textId="73ADC04C" w:rsidR="00E06829" w:rsidRDefault="005F3FD9">
      <w:pPr>
        <w:spacing w:line="276" w:lineRule="auto"/>
        <w:jc w:val="both"/>
        <w:rPr>
          <w:rFonts w:ascii="Times New Roman" w:hAnsi="Times New Roman" w:cs="Times New Roman"/>
          <w:color w:val="1F497D"/>
          <w:sz w:val="24"/>
          <w:szCs w:val="24"/>
        </w:rPr>
      </w:pPr>
      <w:r>
        <w:rPr>
          <w:rFonts w:ascii="Times New Roman" w:hAnsi="Times New Roman" w:cs="Times New Roman"/>
          <w:color w:val="000000"/>
          <w:sz w:val="24"/>
          <w:szCs w:val="24"/>
        </w:rPr>
        <w:t>Le operazioni possono essere selezionate purché contribuiscano al conseguimento degli ob</w:t>
      </w:r>
      <w:r w:rsidR="007214A6">
        <w:rPr>
          <w:rFonts w:ascii="Times New Roman" w:hAnsi="Times New Roman" w:cs="Times New Roman"/>
          <w:color w:val="000000"/>
          <w:sz w:val="24"/>
          <w:szCs w:val="24"/>
        </w:rPr>
        <w:t>iettivi specifici definiti dallo Stato membro</w:t>
      </w:r>
      <w:r>
        <w:rPr>
          <w:rFonts w:ascii="Times New Roman" w:hAnsi="Times New Roman" w:cs="Times New Roman"/>
          <w:color w:val="000000"/>
          <w:sz w:val="24"/>
          <w:szCs w:val="24"/>
        </w:rPr>
        <w:t xml:space="preserve"> per le priorità di investimento selezionate nel programma operativo.</w:t>
      </w:r>
      <w:r w:rsidR="0042314A">
        <w:rPr>
          <w:rFonts w:ascii="Times New Roman" w:hAnsi="Times New Roman" w:cs="Times New Roman"/>
          <w:color w:val="000000"/>
          <w:sz w:val="24"/>
          <w:szCs w:val="24"/>
        </w:rPr>
        <w:t xml:space="preserve"> </w:t>
      </w:r>
      <w:r w:rsidR="0042314A">
        <w:rPr>
          <w:rFonts w:ascii="Times New Roman" w:hAnsi="Times New Roman" w:cs="Times New Roman"/>
          <w:sz w:val="24"/>
          <w:szCs w:val="24"/>
        </w:rPr>
        <w:t>Le operazioni menzionate</w:t>
      </w:r>
      <w:r>
        <w:rPr>
          <w:rFonts w:ascii="Times New Roman" w:hAnsi="Times New Roman" w:cs="Times New Roman"/>
          <w:sz w:val="24"/>
          <w:szCs w:val="24"/>
        </w:rPr>
        <w:t xml:space="preserve"> sono necessarie per limitare la propagazione del virus, in modo da evitare che il sistema sanitario </w:t>
      </w:r>
      <w:r w:rsidR="0042314A">
        <w:rPr>
          <w:rFonts w:ascii="Times New Roman" w:hAnsi="Times New Roman" w:cs="Times New Roman"/>
          <w:sz w:val="24"/>
          <w:szCs w:val="24"/>
        </w:rPr>
        <w:t>collassi compromettendo</w:t>
      </w:r>
      <w:r>
        <w:rPr>
          <w:rFonts w:ascii="Times New Roman" w:hAnsi="Times New Roman" w:cs="Times New Roman"/>
          <w:sz w:val="24"/>
          <w:szCs w:val="24"/>
        </w:rPr>
        <w:t xml:space="preserve"> l'ac</w:t>
      </w:r>
      <w:r w:rsidR="0042314A">
        <w:rPr>
          <w:rFonts w:ascii="Times New Roman" w:hAnsi="Times New Roman" w:cs="Times New Roman"/>
          <w:sz w:val="24"/>
          <w:szCs w:val="24"/>
        </w:rPr>
        <w:t xml:space="preserve">cesso ai servizi sanitari. Esse </w:t>
      </w:r>
      <w:r>
        <w:rPr>
          <w:rFonts w:ascii="Times New Roman" w:hAnsi="Times New Roman" w:cs="Times New Roman"/>
          <w:sz w:val="24"/>
          <w:szCs w:val="24"/>
        </w:rPr>
        <w:t>sono</w:t>
      </w:r>
      <w:r w:rsidR="0042314A">
        <w:rPr>
          <w:rFonts w:ascii="Times New Roman" w:hAnsi="Times New Roman" w:cs="Times New Roman"/>
          <w:sz w:val="24"/>
          <w:szCs w:val="24"/>
        </w:rPr>
        <w:t xml:space="preserve"> ammissibili nell'ambito della priorità di investimento</w:t>
      </w:r>
      <w:r>
        <w:rPr>
          <w:rFonts w:ascii="Times New Roman" w:hAnsi="Times New Roman" w:cs="Times New Roman"/>
          <w:sz w:val="24"/>
          <w:szCs w:val="24"/>
        </w:rPr>
        <w:t xml:space="preserve"> 9iv ("accesso ai servizi").</w:t>
      </w:r>
    </w:p>
    <w:p w14:paraId="0E14EEDD" w14:textId="73B95524" w:rsidR="00E06829" w:rsidRDefault="005F3FD9">
      <w:pPr>
        <w:pStyle w:val="xmsonormal"/>
        <w:pBdr>
          <w:bottom w:val="single" w:sz="6" w:space="1" w:color="auto"/>
        </w:pBdr>
        <w:spacing w:before="240" w:beforeAutospacing="0" w:after="240" w:afterAutospacing="0" w:line="276" w:lineRule="auto"/>
        <w:jc w:val="both"/>
      </w:pPr>
      <w:r>
        <w:t>Le</w:t>
      </w:r>
      <w:r>
        <w:rPr>
          <w:b/>
        </w:rPr>
        <w:t xml:space="preserve"> norme di ammissibilità del FSE sono nazionali</w:t>
      </w:r>
      <w:r>
        <w:rPr>
          <w:rStyle w:val="FootnoteReference"/>
          <w:rFonts w:ascii="Times New Roman" w:hAnsi="Times New Roman"/>
          <w:szCs w:val="16"/>
        </w:rPr>
        <w:footnoteReference w:id="2"/>
      </w:r>
      <w:r>
        <w:rPr>
          <w:sz w:val="16"/>
          <w:szCs w:val="16"/>
        </w:rPr>
        <w:t>:</w:t>
      </w:r>
      <w:r w:rsidR="0042314A">
        <w:rPr>
          <w:sz w:val="16"/>
          <w:szCs w:val="16"/>
        </w:rPr>
        <w:t xml:space="preserve"> </w:t>
      </w:r>
      <w:r>
        <w:t xml:space="preserve">Le norme nazionali sull'ammissibilità relative all'FSE </w:t>
      </w:r>
      <w:r w:rsidR="0042314A">
        <w:t>determinano</w:t>
      </w:r>
      <w:r>
        <w:t xml:space="preserve"> ciò che è ammissibile. Gli Stati membri godono di ampia flessibilità nel definire i costi ammissibili. Tali norme nazionali di ammissibilità devono rispettare </w:t>
      </w:r>
      <w:r w:rsidR="0042314A">
        <w:t>il ristretto insieme di disposizioni</w:t>
      </w:r>
      <w:r>
        <w:t xml:space="preserve"> </w:t>
      </w:r>
      <w:r w:rsidR="0042314A">
        <w:t xml:space="preserve">europee </w:t>
      </w:r>
      <w:r>
        <w:t>n materia di ammissibilità (</w:t>
      </w:r>
      <w:r w:rsidR="0042314A">
        <w:t xml:space="preserve">contenute nel </w:t>
      </w:r>
      <w:r>
        <w:t>regolamento recante disposizioni comuni e nel regolamento FSE).</w:t>
      </w:r>
    </w:p>
    <w:p w14:paraId="7F4580E5" w14:textId="53233086" w:rsidR="00E06829" w:rsidRPr="00B00F64" w:rsidRDefault="005F3FD9">
      <w:pPr>
        <w:spacing w:after="160" w:line="276" w:lineRule="auto"/>
        <w:jc w:val="both"/>
        <w:rPr>
          <w:rFonts w:ascii="Times New Roman" w:hAnsi="Times New Roman" w:cs="Times New Roman"/>
          <w:b/>
          <w:bCs/>
          <w:sz w:val="24"/>
          <w:szCs w:val="24"/>
          <w:u w:val="single"/>
        </w:rPr>
      </w:pPr>
      <w:r w:rsidRPr="00B00F64">
        <w:rPr>
          <w:rFonts w:ascii="Times New Roman" w:hAnsi="Times New Roman" w:cs="Times New Roman"/>
          <w:b/>
          <w:bCs/>
          <w:sz w:val="24"/>
          <w:szCs w:val="24"/>
          <w:u w:val="single"/>
        </w:rPr>
        <w:t xml:space="preserve">Domanda </w:t>
      </w:r>
      <w:r w:rsidRPr="00B00F64">
        <w:rPr>
          <w:rFonts w:ascii="Times New Roman" w:hAnsi="Times New Roman" w:cs="Times New Roman"/>
          <w:b/>
          <w:bCs/>
          <w:sz w:val="32"/>
          <w:szCs w:val="24"/>
          <w:u w:val="single"/>
        </w:rPr>
        <w:t xml:space="preserve"> 8</w:t>
      </w:r>
    </w:p>
    <w:p w14:paraId="286ECB07" w14:textId="46929E7D" w:rsidR="00E06829" w:rsidRPr="0042314A" w:rsidRDefault="005F3FD9">
      <w:pPr>
        <w:spacing w:after="160" w:line="276" w:lineRule="auto"/>
        <w:jc w:val="both"/>
        <w:rPr>
          <w:rFonts w:ascii="Times New Roman" w:hAnsi="Times New Roman" w:cs="Times New Roman"/>
          <w:b/>
          <w:bCs/>
          <w:i/>
          <w:iCs/>
          <w:sz w:val="24"/>
          <w:szCs w:val="24"/>
        </w:rPr>
      </w:pPr>
      <w:r w:rsidRPr="0042314A">
        <w:rPr>
          <w:rFonts w:ascii="Times New Roman" w:hAnsi="Times New Roman" w:cs="Times New Roman"/>
          <w:b/>
          <w:bCs/>
          <w:i/>
          <w:iCs/>
          <w:sz w:val="24"/>
          <w:szCs w:val="24"/>
        </w:rPr>
        <w:t xml:space="preserve">Tirocini. </w:t>
      </w:r>
      <w:r w:rsidR="00D71B74" w:rsidRPr="0042314A">
        <w:rPr>
          <w:rFonts w:ascii="Times New Roman" w:hAnsi="Times New Roman" w:cs="Times New Roman"/>
          <w:b/>
          <w:bCs/>
          <w:i/>
          <w:iCs/>
          <w:sz w:val="24"/>
          <w:szCs w:val="24"/>
        </w:rPr>
        <w:t xml:space="preserve">Nel caso </w:t>
      </w:r>
      <w:r w:rsidRPr="0042314A">
        <w:rPr>
          <w:rFonts w:ascii="Times New Roman" w:hAnsi="Times New Roman" w:cs="Times New Roman"/>
          <w:b/>
          <w:bCs/>
          <w:i/>
          <w:iCs/>
          <w:sz w:val="24"/>
          <w:szCs w:val="24"/>
        </w:rPr>
        <w:t>s</w:t>
      </w:r>
      <w:r w:rsidR="00D71B74" w:rsidRPr="0042314A">
        <w:rPr>
          <w:rFonts w:ascii="Times New Roman" w:hAnsi="Times New Roman" w:cs="Times New Roman"/>
          <w:b/>
          <w:bCs/>
          <w:i/>
          <w:iCs/>
          <w:sz w:val="24"/>
          <w:szCs w:val="24"/>
        </w:rPr>
        <w:t>ia</w:t>
      </w:r>
      <w:r w:rsidRPr="0042314A">
        <w:rPr>
          <w:rFonts w:ascii="Times New Roman" w:hAnsi="Times New Roman" w:cs="Times New Roman"/>
          <w:b/>
          <w:bCs/>
          <w:i/>
          <w:iCs/>
          <w:sz w:val="24"/>
          <w:szCs w:val="24"/>
        </w:rPr>
        <w:t>no stati sospesi per limitare la propagazione del virus</w:t>
      </w:r>
    </w:p>
    <w:p w14:paraId="3D6F8C82" w14:textId="13771FBE" w:rsidR="00E06829" w:rsidRPr="0042314A" w:rsidRDefault="005F3FD9">
      <w:pPr>
        <w:spacing w:after="160" w:line="276" w:lineRule="auto"/>
        <w:jc w:val="both"/>
        <w:rPr>
          <w:rFonts w:ascii="Times New Roman" w:hAnsi="Times New Roman" w:cs="Times New Roman"/>
          <w:b/>
          <w:bCs/>
          <w:i/>
          <w:iCs/>
          <w:sz w:val="24"/>
          <w:szCs w:val="24"/>
        </w:rPr>
      </w:pPr>
      <w:r w:rsidRPr="0042314A">
        <w:rPr>
          <w:rFonts w:ascii="Times New Roman" w:hAnsi="Times New Roman" w:cs="Times New Roman"/>
          <w:b/>
          <w:bCs/>
          <w:i/>
          <w:iCs/>
          <w:sz w:val="24"/>
          <w:szCs w:val="24"/>
        </w:rPr>
        <w:t xml:space="preserve">a) </w:t>
      </w:r>
      <w:r w:rsidR="00D71B74" w:rsidRPr="0042314A">
        <w:rPr>
          <w:rFonts w:ascii="Times New Roman" w:hAnsi="Times New Roman" w:cs="Times New Roman"/>
          <w:b/>
          <w:bCs/>
          <w:i/>
          <w:iCs/>
          <w:sz w:val="24"/>
          <w:szCs w:val="24"/>
        </w:rPr>
        <w:t xml:space="preserve">è possibile versare </w:t>
      </w:r>
      <w:r w:rsidRPr="0042314A">
        <w:rPr>
          <w:rFonts w:ascii="Times New Roman" w:hAnsi="Times New Roman" w:cs="Times New Roman"/>
          <w:b/>
          <w:bCs/>
          <w:i/>
          <w:iCs/>
          <w:sz w:val="24"/>
          <w:szCs w:val="24"/>
        </w:rPr>
        <w:t>l'indennità prevista ai partecipanti</w:t>
      </w:r>
      <w:r w:rsidR="00D71B74" w:rsidRPr="0042314A">
        <w:rPr>
          <w:rFonts w:ascii="Times New Roman" w:hAnsi="Times New Roman" w:cs="Times New Roman"/>
          <w:b/>
          <w:bCs/>
          <w:i/>
          <w:iCs/>
          <w:sz w:val="24"/>
          <w:szCs w:val="24"/>
        </w:rPr>
        <w:t>, ed</w:t>
      </w:r>
      <w:r w:rsidR="00B00F64">
        <w:rPr>
          <w:rFonts w:ascii="Times New Roman" w:hAnsi="Times New Roman" w:cs="Times New Roman"/>
          <w:b/>
          <w:bCs/>
          <w:i/>
          <w:iCs/>
          <w:sz w:val="24"/>
          <w:szCs w:val="24"/>
        </w:rPr>
        <w:t xml:space="preserve"> </w:t>
      </w:r>
      <w:r w:rsidR="00D71B74" w:rsidRPr="0042314A">
        <w:rPr>
          <w:rFonts w:ascii="Times New Roman" w:hAnsi="Times New Roman" w:cs="Times New Roman"/>
          <w:b/>
          <w:bCs/>
          <w:i/>
          <w:iCs/>
          <w:sz w:val="24"/>
          <w:szCs w:val="24"/>
        </w:rPr>
        <w:t>essa sarebbe</w:t>
      </w:r>
      <w:r w:rsidRPr="0042314A">
        <w:rPr>
          <w:rFonts w:ascii="Times New Roman" w:hAnsi="Times New Roman" w:cs="Times New Roman"/>
          <w:b/>
          <w:bCs/>
          <w:i/>
          <w:iCs/>
          <w:sz w:val="24"/>
          <w:szCs w:val="24"/>
        </w:rPr>
        <w:t xml:space="preserve"> ammissibile al FSE?</w:t>
      </w:r>
    </w:p>
    <w:p w14:paraId="7B6E1D35" w14:textId="0B82A207" w:rsidR="00E06829" w:rsidRPr="0042314A" w:rsidRDefault="00D71B74">
      <w:pPr>
        <w:spacing w:after="160" w:line="276" w:lineRule="auto"/>
        <w:jc w:val="both"/>
        <w:rPr>
          <w:rFonts w:ascii="Times New Roman" w:hAnsi="Times New Roman" w:cs="Times New Roman"/>
          <w:b/>
          <w:bCs/>
          <w:i/>
          <w:iCs/>
          <w:sz w:val="24"/>
          <w:szCs w:val="24"/>
        </w:rPr>
      </w:pPr>
      <w:r w:rsidRPr="0042314A">
        <w:rPr>
          <w:rFonts w:ascii="Times New Roman" w:hAnsi="Times New Roman" w:cs="Times New Roman"/>
          <w:b/>
          <w:bCs/>
          <w:i/>
          <w:iCs/>
          <w:sz w:val="24"/>
          <w:szCs w:val="24"/>
        </w:rPr>
        <w:t xml:space="preserve">b) </w:t>
      </w:r>
      <w:r w:rsidR="005F3FD9" w:rsidRPr="0042314A">
        <w:rPr>
          <w:rFonts w:ascii="Times New Roman" w:hAnsi="Times New Roman" w:cs="Times New Roman"/>
          <w:b/>
          <w:bCs/>
          <w:i/>
          <w:iCs/>
          <w:sz w:val="24"/>
          <w:szCs w:val="24"/>
        </w:rPr>
        <w:t xml:space="preserve">in caso di risposta affermativa, i tirocini </w:t>
      </w:r>
      <w:r w:rsidRPr="0042314A">
        <w:rPr>
          <w:rFonts w:ascii="Times New Roman" w:hAnsi="Times New Roman" w:cs="Times New Roman"/>
          <w:b/>
          <w:bCs/>
          <w:i/>
          <w:iCs/>
          <w:sz w:val="24"/>
          <w:szCs w:val="24"/>
        </w:rPr>
        <w:t>devono ancora avere luogo una volta che la s</w:t>
      </w:r>
      <w:r w:rsidR="005F3FD9" w:rsidRPr="0042314A">
        <w:rPr>
          <w:rFonts w:ascii="Times New Roman" w:hAnsi="Times New Roman" w:cs="Times New Roman"/>
          <w:b/>
          <w:bCs/>
          <w:i/>
          <w:iCs/>
          <w:sz w:val="24"/>
          <w:szCs w:val="24"/>
        </w:rPr>
        <w:t>ituazione sia più stabile</w:t>
      </w:r>
      <w:r w:rsidRPr="0042314A">
        <w:rPr>
          <w:rFonts w:ascii="Times New Roman" w:hAnsi="Times New Roman" w:cs="Times New Roman"/>
          <w:b/>
          <w:bCs/>
          <w:i/>
          <w:iCs/>
          <w:sz w:val="24"/>
          <w:szCs w:val="24"/>
        </w:rPr>
        <w:t xml:space="preserve">?  Quali sono le possibilità per </w:t>
      </w:r>
      <w:r w:rsidR="005F3FD9" w:rsidRPr="0042314A">
        <w:rPr>
          <w:rFonts w:ascii="Times New Roman" w:hAnsi="Times New Roman" w:cs="Times New Roman"/>
          <w:b/>
          <w:bCs/>
          <w:i/>
          <w:iCs/>
          <w:sz w:val="24"/>
          <w:szCs w:val="24"/>
        </w:rPr>
        <w:t>(ulteriori) indennità?</w:t>
      </w:r>
    </w:p>
    <w:p w14:paraId="77032DE3" w14:textId="77777777" w:rsidR="00E06829" w:rsidRPr="0042314A" w:rsidRDefault="005F3FD9">
      <w:pPr>
        <w:pStyle w:val="ListParagraph"/>
        <w:spacing w:after="160" w:line="276" w:lineRule="auto"/>
        <w:ind w:left="0"/>
        <w:rPr>
          <w:b/>
          <w:i/>
          <w:iCs/>
          <w:szCs w:val="24"/>
          <w:u w:val="single"/>
          <w:lang w:val="it-IT"/>
        </w:rPr>
      </w:pPr>
      <w:r w:rsidRPr="0042314A">
        <w:rPr>
          <w:b/>
          <w:i/>
          <w:iCs/>
          <w:szCs w:val="24"/>
          <w:u w:val="single"/>
          <w:lang w:val="it-IT"/>
        </w:rPr>
        <w:t>RISPOSTA</w:t>
      </w:r>
    </w:p>
    <w:p w14:paraId="258F119C" w14:textId="4D76477F" w:rsidR="00E06829" w:rsidRPr="0042314A" w:rsidRDefault="005F3FD9">
      <w:pPr>
        <w:spacing w:line="276" w:lineRule="auto"/>
        <w:jc w:val="both"/>
        <w:rPr>
          <w:rFonts w:ascii="Times New Roman" w:hAnsi="Times New Roman" w:cs="Times New Roman"/>
          <w:sz w:val="24"/>
          <w:szCs w:val="24"/>
        </w:rPr>
      </w:pPr>
      <w:r w:rsidRPr="0042314A">
        <w:rPr>
          <w:rFonts w:ascii="Times New Roman" w:hAnsi="Times New Roman" w:cs="Times New Roman"/>
          <w:sz w:val="24"/>
          <w:szCs w:val="24"/>
        </w:rPr>
        <w:t xml:space="preserve">Sulla </w:t>
      </w:r>
      <w:hyperlink r:id="rId12" w:history="1">
        <w:r w:rsidRPr="0042314A">
          <w:rPr>
            <w:rStyle w:val="Hyperlink"/>
            <w:rFonts w:ascii="Times New Roman" w:hAnsi="Times New Roman" w:cs="Times New Roman"/>
            <w:sz w:val="24"/>
            <w:szCs w:val="24"/>
          </w:rPr>
          <w:t>piattaforma CRII</w:t>
        </w:r>
      </w:hyperlink>
      <w:r w:rsidR="00D71B74" w:rsidRPr="0042314A">
        <w:rPr>
          <w:rStyle w:val="FootnoteReference"/>
          <w:rFonts w:cs="Times New Roman"/>
          <w:color w:val="0563C1" w:themeColor="hyperlink"/>
          <w:szCs w:val="24"/>
          <w:u w:val="single"/>
        </w:rPr>
        <w:footnoteReference w:id="3"/>
      </w:r>
      <w:r w:rsidRPr="0042314A">
        <w:rPr>
          <w:rFonts w:ascii="Times New Roman" w:hAnsi="Times New Roman" w:cs="Times New Roman"/>
          <w:sz w:val="24"/>
          <w:szCs w:val="24"/>
        </w:rPr>
        <w:t xml:space="preserve"> sono già </w:t>
      </w:r>
      <w:r w:rsidR="00D71B74" w:rsidRPr="0042314A">
        <w:rPr>
          <w:rFonts w:ascii="Times New Roman" w:hAnsi="Times New Roman" w:cs="Times New Roman"/>
          <w:sz w:val="24"/>
          <w:szCs w:val="24"/>
        </w:rPr>
        <w:t xml:space="preserve">presenti </w:t>
      </w:r>
      <w:r w:rsidRPr="0042314A">
        <w:rPr>
          <w:rFonts w:ascii="Times New Roman" w:hAnsi="Times New Roman" w:cs="Times New Roman"/>
          <w:sz w:val="24"/>
          <w:szCs w:val="24"/>
        </w:rPr>
        <w:t xml:space="preserve">Domande &amp; </w:t>
      </w:r>
      <w:r w:rsidR="00D71B74" w:rsidRPr="0042314A">
        <w:rPr>
          <w:rFonts w:ascii="Times New Roman" w:hAnsi="Times New Roman" w:cs="Times New Roman"/>
          <w:sz w:val="24"/>
          <w:szCs w:val="24"/>
        </w:rPr>
        <w:t xml:space="preserve">Risposte </w:t>
      </w:r>
      <w:r w:rsidRPr="0042314A">
        <w:rPr>
          <w:rFonts w:ascii="Times New Roman" w:hAnsi="Times New Roman" w:cs="Times New Roman"/>
          <w:sz w:val="24"/>
          <w:szCs w:val="24"/>
        </w:rPr>
        <w:t xml:space="preserve">che hanno </w:t>
      </w:r>
      <w:r w:rsidR="00D71B74" w:rsidRPr="0042314A">
        <w:rPr>
          <w:rFonts w:ascii="Times New Roman" w:hAnsi="Times New Roman" w:cs="Times New Roman"/>
          <w:sz w:val="24"/>
          <w:szCs w:val="24"/>
        </w:rPr>
        <w:t xml:space="preserve">affrontato il tema </w:t>
      </w:r>
      <w:r w:rsidRPr="0042314A">
        <w:rPr>
          <w:rFonts w:ascii="Times New Roman" w:hAnsi="Times New Roman" w:cs="Times New Roman"/>
          <w:sz w:val="24"/>
          <w:szCs w:val="24"/>
        </w:rPr>
        <w:t xml:space="preserve"> delle </w:t>
      </w:r>
      <w:r w:rsidRPr="0042314A">
        <w:rPr>
          <w:rFonts w:ascii="Times New Roman" w:hAnsi="Times New Roman" w:cs="Times New Roman"/>
          <w:b/>
          <w:sz w:val="24"/>
          <w:szCs w:val="24"/>
          <w:u w:val="single"/>
        </w:rPr>
        <w:t xml:space="preserve">operazioni interessate </w:t>
      </w:r>
      <w:r w:rsidR="00D71B74" w:rsidRPr="0042314A">
        <w:rPr>
          <w:rFonts w:ascii="Times New Roman" w:hAnsi="Times New Roman" w:cs="Times New Roman"/>
          <w:b/>
          <w:sz w:val="24"/>
          <w:szCs w:val="24"/>
          <w:u w:val="single"/>
        </w:rPr>
        <w:t xml:space="preserve">dall’emergenza </w:t>
      </w:r>
      <w:r w:rsidRPr="0042314A">
        <w:rPr>
          <w:rFonts w:ascii="Times New Roman" w:hAnsi="Times New Roman" w:cs="Times New Roman"/>
          <w:b/>
          <w:sz w:val="24"/>
          <w:szCs w:val="24"/>
          <w:u w:val="single"/>
        </w:rPr>
        <w:t>la cui attuazione è sospesa</w:t>
      </w:r>
      <w:r w:rsidR="00D71B74" w:rsidRPr="0042314A">
        <w:rPr>
          <w:rFonts w:ascii="Times New Roman" w:hAnsi="Times New Roman" w:cs="Times New Roman"/>
          <w:b/>
          <w:sz w:val="24"/>
          <w:szCs w:val="24"/>
          <w:u w:val="single"/>
        </w:rPr>
        <w:t xml:space="preserve">. </w:t>
      </w:r>
      <w:r w:rsidRPr="0042314A">
        <w:rPr>
          <w:rFonts w:ascii="Times New Roman" w:hAnsi="Times New Roman" w:cs="Times New Roman"/>
          <w:sz w:val="24"/>
          <w:szCs w:val="24"/>
        </w:rPr>
        <w:t>.</w:t>
      </w:r>
      <w:r w:rsidR="00D71B74" w:rsidRPr="0042314A">
        <w:rPr>
          <w:rFonts w:ascii="Times New Roman" w:hAnsi="Times New Roman" w:cs="Times New Roman"/>
          <w:sz w:val="24"/>
          <w:szCs w:val="24"/>
        </w:rPr>
        <w:t xml:space="preserve">In particolare le domande relative a </w:t>
      </w:r>
      <w:r w:rsidRPr="00B00F64">
        <w:rPr>
          <w:rFonts w:ascii="Times New Roman" w:hAnsi="Times New Roman" w:cs="Times New Roman"/>
          <w:i/>
          <w:sz w:val="24"/>
          <w:szCs w:val="24"/>
        </w:rPr>
        <w:t>"CO</w:t>
      </w:r>
      <w:r w:rsidR="00B00F64" w:rsidRPr="00B00F64">
        <w:rPr>
          <w:rFonts w:ascii="Times New Roman" w:hAnsi="Times New Roman" w:cs="Times New Roman"/>
          <w:i/>
          <w:sz w:val="24"/>
          <w:szCs w:val="24"/>
        </w:rPr>
        <w:t>VID</w:t>
      </w:r>
      <w:r w:rsidRPr="0042314A">
        <w:rPr>
          <w:rFonts w:ascii="Times New Roman" w:hAnsi="Times New Roman" w:cs="Times New Roman"/>
          <w:i/>
          <w:sz w:val="24"/>
          <w:szCs w:val="24"/>
        </w:rPr>
        <w:t xml:space="preserve"> 19</w:t>
      </w:r>
      <w:r w:rsidR="00D71B74" w:rsidRPr="0042314A">
        <w:rPr>
          <w:rFonts w:ascii="Times New Roman" w:hAnsi="Times New Roman" w:cs="Times New Roman"/>
          <w:i/>
          <w:sz w:val="24"/>
          <w:szCs w:val="24"/>
        </w:rPr>
        <w:t xml:space="preserve"> e c</w:t>
      </w:r>
      <w:bookmarkStart w:id="0" w:name="_GoBack"/>
      <w:bookmarkEnd w:id="0"/>
      <w:r w:rsidR="00D71B74" w:rsidRPr="0042314A">
        <w:rPr>
          <w:rFonts w:ascii="Times New Roman" w:hAnsi="Times New Roman" w:cs="Times New Roman"/>
          <w:i/>
          <w:sz w:val="24"/>
          <w:szCs w:val="24"/>
        </w:rPr>
        <w:t>ause di forza maggiore", "</w:t>
      </w:r>
      <w:r w:rsidRPr="0042314A">
        <w:rPr>
          <w:rFonts w:ascii="Times New Roman" w:hAnsi="Times New Roman" w:cs="Times New Roman"/>
          <w:i/>
          <w:sz w:val="24"/>
          <w:szCs w:val="24"/>
        </w:rPr>
        <w:t xml:space="preserve">ammissibilità alle operazioni </w:t>
      </w:r>
      <w:r w:rsidRPr="0042314A">
        <w:rPr>
          <w:rFonts w:ascii="Times New Roman" w:hAnsi="Times New Roman" w:cs="Times New Roman"/>
          <w:i/>
          <w:sz w:val="24"/>
          <w:szCs w:val="24"/>
        </w:rPr>
        <w:lastRenderedPageBreak/>
        <w:t xml:space="preserve">interessate" </w:t>
      </w:r>
      <w:r w:rsidRPr="0042314A">
        <w:rPr>
          <w:rFonts w:ascii="Times New Roman" w:hAnsi="Times New Roman" w:cs="Times New Roman"/>
          <w:sz w:val="24"/>
          <w:szCs w:val="24"/>
        </w:rPr>
        <w:t>e "</w:t>
      </w:r>
      <w:r w:rsidRPr="0042314A">
        <w:rPr>
          <w:rFonts w:ascii="Times New Roman" w:hAnsi="Times New Roman" w:cs="Times New Roman"/>
          <w:i/>
          <w:sz w:val="24"/>
          <w:szCs w:val="24"/>
        </w:rPr>
        <w:t xml:space="preserve"> flessibilità per adeguare le operazioni interessate"</w:t>
      </w:r>
      <w:r w:rsidR="00D71B74" w:rsidRPr="0042314A">
        <w:rPr>
          <w:rStyle w:val="FootnoteReference"/>
          <w:rFonts w:cs="Times New Roman"/>
          <w:i/>
          <w:szCs w:val="24"/>
        </w:rPr>
        <w:footnoteReference w:id="4"/>
      </w:r>
      <w:r w:rsidR="00D71B74" w:rsidRPr="0042314A">
        <w:rPr>
          <w:rFonts w:ascii="Times New Roman" w:hAnsi="Times New Roman" w:cs="Times New Roman"/>
          <w:i/>
          <w:sz w:val="24"/>
          <w:szCs w:val="24"/>
        </w:rPr>
        <w:t xml:space="preserve"> </w:t>
      </w:r>
      <w:r w:rsidRPr="0042314A">
        <w:rPr>
          <w:rFonts w:ascii="Times New Roman" w:hAnsi="Times New Roman" w:cs="Times New Roman"/>
          <w:sz w:val="24"/>
          <w:szCs w:val="24"/>
        </w:rPr>
        <w:t>.Su questa base occorre valutare se i costi delle indennità possono essere ammissibili a titolo della priorità d'investimento che sostiene l'operazione.</w:t>
      </w:r>
    </w:p>
    <w:p w14:paraId="32922751" w14:textId="0042CBB3" w:rsidR="00056CB6" w:rsidRPr="0042314A" w:rsidRDefault="001909F6" w:rsidP="001909F6">
      <w:pPr>
        <w:spacing w:line="276" w:lineRule="auto"/>
        <w:jc w:val="both"/>
        <w:rPr>
          <w:rFonts w:ascii="Times New Roman" w:hAnsi="Times New Roman" w:cs="Times New Roman"/>
          <w:sz w:val="24"/>
          <w:szCs w:val="24"/>
        </w:rPr>
      </w:pPr>
      <w:r w:rsidRPr="0042314A">
        <w:rPr>
          <w:rFonts w:ascii="Times New Roman" w:hAnsi="Times New Roman" w:cs="Times New Roman"/>
          <w:sz w:val="24"/>
          <w:szCs w:val="24"/>
        </w:rPr>
        <w:t>In queste Domande &amp; Risposte si sottolinea anche come, ai sensi dell'articolo 65, paragrafo 1, del RDC, l'ammissibilità è determinata in base alle norme nazionali, tranne nei casi in cui sono previste norme specifiche nel RDC o nelle norme specifiche di ciascun Fondo.</w:t>
      </w:r>
      <w:r w:rsidR="00056CB6" w:rsidRPr="0042314A">
        <w:rPr>
          <w:rFonts w:ascii="Times New Roman" w:hAnsi="Times New Roman" w:cs="Times New Roman"/>
          <w:sz w:val="24"/>
          <w:szCs w:val="24"/>
        </w:rPr>
        <w:t xml:space="preserve"> </w:t>
      </w:r>
    </w:p>
    <w:p w14:paraId="1D8D335F" w14:textId="77777777" w:rsidR="001909F6" w:rsidRPr="0042314A" w:rsidRDefault="001909F6" w:rsidP="001909F6">
      <w:pPr>
        <w:spacing w:line="276" w:lineRule="auto"/>
        <w:jc w:val="both"/>
        <w:rPr>
          <w:rFonts w:ascii="Times New Roman" w:hAnsi="Times New Roman" w:cs="Times New Roman"/>
          <w:sz w:val="24"/>
          <w:szCs w:val="24"/>
        </w:rPr>
      </w:pPr>
    </w:p>
    <w:p w14:paraId="2BFB110A" w14:textId="6DFFD504" w:rsidR="00056CB6" w:rsidRPr="0042314A" w:rsidRDefault="00056CB6" w:rsidP="001909F6">
      <w:pPr>
        <w:spacing w:line="276" w:lineRule="auto"/>
        <w:jc w:val="both"/>
        <w:rPr>
          <w:rFonts w:ascii="Times New Roman" w:hAnsi="Times New Roman" w:cs="Times New Roman"/>
          <w:sz w:val="24"/>
          <w:szCs w:val="24"/>
        </w:rPr>
      </w:pPr>
      <w:r w:rsidRPr="0042314A">
        <w:rPr>
          <w:rFonts w:ascii="Times New Roman" w:hAnsi="Times New Roman" w:cs="Times New Roman"/>
          <w:sz w:val="24"/>
          <w:szCs w:val="24"/>
        </w:rPr>
        <w:t xml:space="preserve">Inoltre, </w:t>
      </w:r>
      <w:r w:rsidR="001909F6" w:rsidRPr="0042314A">
        <w:rPr>
          <w:rFonts w:ascii="Times New Roman" w:hAnsi="Times New Roman" w:cs="Times New Roman"/>
          <w:sz w:val="24"/>
          <w:szCs w:val="24"/>
        </w:rPr>
        <w:t>poiché</w:t>
      </w:r>
      <w:r w:rsidRPr="0042314A">
        <w:rPr>
          <w:rFonts w:ascii="Times New Roman" w:hAnsi="Times New Roman" w:cs="Times New Roman"/>
          <w:sz w:val="24"/>
          <w:szCs w:val="24"/>
        </w:rPr>
        <w:t xml:space="preserve"> l'attuazione dell'operazione </w:t>
      </w:r>
      <w:r w:rsidR="001909F6" w:rsidRPr="0042314A">
        <w:rPr>
          <w:rFonts w:ascii="Times New Roman" w:hAnsi="Times New Roman" w:cs="Times New Roman"/>
          <w:sz w:val="24"/>
          <w:szCs w:val="24"/>
        </w:rPr>
        <w:t xml:space="preserve">è </w:t>
      </w:r>
      <w:r w:rsidRPr="0042314A">
        <w:rPr>
          <w:rFonts w:ascii="Times New Roman" w:hAnsi="Times New Roman" w:cs="Times New Roman"/>
          <w:sz w:val="24"/>
          <w:szCs w:val="24"/>
        </w:rPr>
        <w:t xml:space="preserve">sospesa per ritardare la diffusione del virus in modo da evitare che il sistema sanitario imploda mettendo a rischio l'accesso ai servizi, è </w:t>
      </w:r>
      <w:r w:rsidR="001909F6" w:rsidRPr="0042314A">
        <w:rPr>
          <w:rFonts w:ascii="Times New Roman" w:hAnsi="Times New Roman" w:cs="Times New Roman"/>
          <w:sz w:val="24"/>
          <w:szCs w:val="24"/>
        </w:rPr>
        <w:t xml:space="preserve">anche </w:t>
      </w:r>
      <w:r w:rsidRPr="0042314A">
        <w:rPr>
          <w:rFonts w:ascii="Times New Roman" w:hAnsi="Times New Roman" w:cs="Times New Roman"/>
          <w:sz w:val="24"/>
          <w:szCs w:val="24"/>
        </w:rPr>
        <w:t xml:space="preserve">possibile istituire una </w:t>
      </w:r>
      <w:r w:rsidRPr="0042314A">
        <w:rPr>
          <w:rFonts w:ascii="Times New Roman" w:hAnsi="Times New Roman" w:cs="Times New Roman"/>
          <w:b/>
          <w:sz w:val="24"/>
          <w:szCs w:val="24"/>
          <w:u w:val="single"/>
        </w:rPr>
        <w:t>nuova operazione ai sensi dell</w:t>
      </w:r>
      <w:r w:rsidR="001909F6" w:rsidRPr="0042314A">
        <w:rPr>
          <w:rFonts w:ascii="Times New Roman" w:hAnsi="Times New Roman" w:cs="Times New Roman"/>
          <w:b/>
          <w:sz w:val="24"/>
          <w:szCs w:val="24"/>
          <w:u w:val="single"/>
        </w:rPr>
        <w:t xml:space="preserve">a </w:t>
      </w:r>
      <w:r w:rsidR="00B00F64">
        <w:rPr>
          <w:rFonts w:ascii="Times New Roman" w:hAnsi="Times New Roman" w:cs="Times New Roman"/>
          <w:b/>
          <w:sz w:val="24"/>
          <w:szCs w:val="24"/>
          <w:u w:val="single"/>
        </w:rPr>
        <w:t xml:space="preserve">priorità di investimento </w:t>
      </w:r>
      <w:r w:rsidRPr="0042314A">
        <w:rPr>
          <w:rFonts w:ascii="Times New Roman" w:hAnsi="Times New Roman" w:cs="Times New Roman"/>
          <w:b/>
          <w:sz w:val="24"/>
          <w:szCs w:val="24"/>
          <w:u w:val="single"/>
        </w:rPr>
        <w:t xml:space="preserve"> 9iv</w:t>
      </w:r>
      <w:r w:rsidRPr="0042314A">
        <w:rPr>
          <w:rFonts w:ascii="Times New Roman" w:hAnsi="Times New Roman" w:cs="Times New Roman"/>
          <w:sz w:val="24"/>
          <w:szCs w:val="24"/>
        </w:rPr>
        <w:t xml:space="preserve"> (accesso ai servizi) per coprire i costi effettivi delle operazioni sospese.</w:t>
      </w:r>
    </w:p>
    <w:p w14:paraId="2B8EDC48" w14:textId="09B5160E" w:rsidR="00E06829" w:rsidRPr="00B93CF7" w:rsidRDefault="00056CB6" w:rsidP="00B93CF7">
      <w:pPr>
        <w:spacing w:before="100" w:beforeAutospacing="1" w:after="100" w:afterAutospacing="1"/>
        <w:jc w:val="both"/>
        <w:rPr>
          <w:rFonts w:ascii="Times New Roman" w:hAnsi="Times New Roman" w:cs="Times New Roman"/>
          <w:sz w:val="24"/>
          <w:szCs w:val="24"/>
        </w:rPr>
      </w:pPr>
      <w:r w:rsidRPr="0042314A">
        <w:rPr>
          <w:rFonts w:ascii="Times New Roman" w:hAnsi="Times New Roman" w:cs="Times New Roman"/>
          <w:sz w:val="24"/>
          <w:szCs w:val="24"/>
        </w:rPr>
        <w:t xml:space="preserve">Pertanto, quando gli i tirocini vengono sospesi per ritardare la diffusione di COVID-19 in modo da garantire l'accesso al sistema sanitario, i costi per le indennità di partecipazione sono sicuramente ammissibili nell'ambito del FSE, ma a valere sulla priorità di investimento sull'accesso ai servizi, </w:t>
      </w:r>
      <w:r w:rsidR="00B00F64">
        <w:rPr>
          <w:rFonts w:ascii="Times New Roman" w:hAnsi="Times New Roman" w:cs="Times New Roman"/>
          <w:sz w:val="24"/>
          <w:szCs w:val="24"/>
        </w:rPr>
        <w:t xml:space="preserve">priorità di investimento </w:t>
      </w:r>
      <w:r w:rsidRPr="0042314A">
        <w:rPr>
          <w:rFonts w:ascii="Times New Roman" w:hAnsi="Times New Roman" w:cs="Times New Roman"/>
          <w:sz w:val="24"/>
          <w:szCs w:val="24"/>
        </w:rPr>
        <w:t xml:space="preserve"> 9.iv. Le norme nazionali di ammissibilità dovrebbero essere </w:t>
      </w:r>
      <w:r w:rsidR="00B93CF7" w:rsidRPr="0042314A">
        <w:rPr>
          <w:rFonts w:ascii="Times New Roman" w:hAnsi="Times New Roman" w:cs="Times New Roman"/>
          <w:sz w:val="24"/>
          <w:szCs w:val="24"/>
        </w:rPr>
        <w:t>quindi  </w:t>
      </w:r>
      <w:r w:rsidRPr="0042314A">
        <w:rPr>
          <w:rFonts w:ascii="Times New Roman" w:hAnsi="Times New Roman" w:cs="Times New Roman"/>
          <w:sz w:val="24"/>
          <w:szCs w:val="24"/>
        </w:rPr>
        <w:t>adeguate di conseguenza in modo che tali indennità siano ammissibili durante il periodo di sospensione dei tirocini</w:t>
      </w:r>
      <w:r w:rsidR="00B93CF7" w:rsidRPr="0042314A">
        <w:rPr>
          <w:rFonts w:ascii="Times New Roman" w:hAnsi="Times New Roman" w:cs="Times New Roman"/>
          <w:sz w:val="24"/>
          <w:szCs w:val="24"/>
        </w:rPr>
        <w:t>.</w:t>
      </w:r>
    </w:p>
    <w:p w14:paraId="0F6FADB0" w14:textId="77777777" w:rsidR="00E06829" w:rsidRDefault="00E06829">
      <w:pPr>
        <w:spacing w:after="160" w:line="276" w:lineRule="auto"/>
        <w:jc w:val="both"/>
        <w:rPr>
          <w:rFonts w:ascii="Times New Roman" w:hAnsi="Times New Roman" w:cs="Times New Roman"/>
          <w:b/>
          <w:bCs/>
          <w:i/>
          <w:iCs/>
          <w:sz w:val="24"/>
          <w:szCs w:val="24"/>
        </w:rPr>
      </w:pPr>
    </w:p>
    <w:sectPr w:rsidR="00E0682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2BF73" w14:textId="77777777" w:rsidR="00E06829" w:rsidRDefault="005F3FD9">
      <w:r>
        <w:separator/>
      </w:r>
    </w:p>
  </w:endnote>
  <w:endnote w:type="continuationSeparator" w:id="0">
    <w:p w14:paraId="061063C0" w14:textId="77777777" w:rsidR="00E06829" w:rsidRDefault="005F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charset w:val="00"/>
    <w:family w:val="roman"/>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092F1" w14:textId="77777777" w:rsidR="00E06829" w:rsidRDefault="00E06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921323"/>
      <w:docPartObj>
        <w:docPartGallery w:val="Page Numbers (Bottom of Page)"/>
        <w:docPartUnique/>
      </w:docPartObj>
    </w:sdtPr>
    <w:sdtEndPr>
      <w:rPr>
        <w:noProof/>
      </w:rPr>
    </w:sdtEndPr>
    <w:sdtContent>
      <w:p w14:paraId="71FB8853" w14:textId="4A5C679E" w:rsidR="00E06829" w:rsidRDefault="005F3FD9">
        <w:pPr>
          <w:pStyle w:val="Footer"/>
          <w:jc w:val="center"/>
        </w:pPr>
        <w:r>
          <w:fldChar w:fldCharType="begin"/>
        </w:r>
        <w:r>
          <w:instrText xml:space="preserve"> PAGE   \* MERGEFORMAT </w:instrText>
        </w:r>
        <w:r>
          <w:fldChar w:fldCharType="separate"/>
        </w:r>
        <w:r w:rsidR="00B00F64">
          <w:rPr>
            <w:noProof/>
          </w:rPr>
          <w:t>5</w:t>
        </w:r>
        <w:r>
          <w:rPr>
            <w:noProof/>
          </w:rPr>
          <w:fldChar w:fldCharType="end"/>
        </w:r>
      </w:p>
    </w:sdtContent>
  </w:sdt>
  <w:p w14:paraId="6301324C" w14:textId="77777777" w:rsidR="00E06829" w:rsidRDefault="00E06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099DE" w14:textId="77777777" w:rsidR="00E06829" w:rsidRDefault="00E06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8415D" w14:textId="77777777" w:rsidR="00E06829" w:rsidRDefault="005F3FD9">
      <w:r>
        <w:separator/>
      </w:r>
    </w:p>
  </w:footnote>
  <w:footnote w:type="continuationSeparator" w:id="0">
    <w:p w14:paraId="636A2832" w14:textId="77777777" w:rsidR="00E06829" w:rsidRDefault="005F3FD9">
      <w:r>
        <w:continuationSeparator/>
      </w:r>
    </w:p>
  </w:footnote>
  <w:footnote w:id="1">
    <w:p w14:paraId="2A810217" w14:textId="77777777" w:rsidR="00056CB6" w:rsidRPr="008327C6" w:rsidRDefault="00056CB6" w:rsidP="00056CB6">
      <w:pPr>
        <w:pStyle w:val="FootnoteText"/>
        <w:rPr>
          <w:lang w:val="it-IT"/>
        </w:rPr>
      </w:pPr>
      <w:r>
        <w:rPr>
          <w:rStyle w:val="FootnoteReference"/>
        </w:rPr>
        <w:footnoteRef/>
      </w:r>
      <w:r w:rsidRPr="008327C6">
        <w:rPr>
          <w:lang w:val="it-IT"/>
        </w:rPr>
        <w:t>Articolo 65, paragrafo 1, del regolamento recante disposizioni comuni (RDC).</w:t>
      </w:r>
    </w:p>
  </w:footnote>
  <w:footnote w:id="2">
    <w:p w14:paraId="541C4955" w14:textId="77777777" w:rsidR="00E06829" w:rsidRPr="008327C6" w:rsidRDefault="005F3FD9">
      <w:pPr>
        <w:pStyle w:val="FootnoteText"/>
        <w:rPr>
          <w:lang w:val="it-IT"/>
        </w:rPr>
      </w:pPr>
      <w:r>
        <w:rPr>
          <w:rStyle w:val="FootnoteReference"/>
        </w:rPr>
        <w:footnoteRef/>
      </w:r>
      <w:r w:rsidRPr="008327C6">
        <w:rPr>
          <w:lang w:val="it-IT"/>
        </w:rPr>
        <w:t>Articolo 65, paragrafo 1, del regolamento recante disposizioni comuni (RDC).</w:t>
      </w:r>
    </w:p>
  </w:footnote>
  <w:footnote w:id="3">
    <w:p w14:paraId="4BA6E733" w14:textId="459683A6" w:rsidR="00D71B74" w:rsidRPr="00D71B74" w:rsidRDefault="00D71B74">
      <w:pPr>
        <w:pStyle w:val="FootnoteText"/>
        <w:rPr>
          <w:lang w:val="it-IT"/>
        </w:rPr>
      </w:pPr>
      <w:r>
        <w:rPr>
          <w:rStyle w:val="FootnoteReference"/>
        </w:rPr>
        <w:footnoteRef/>
      </w:r>
      <w:r w:rsidRPr="00D71B74">
        <w:rPr>
          <w:lang w:val="it-IT"/>
        </w:rPr>
        <w:t xml:space="preserve"> https://webgate.ec.europa.eu/fpfis/wikis/pages/viewpage.action?pageId=469663935</w:t>
      </w:r>
    </w:p>
  </w:footnote>
  <w:footnote w:id="4">
    <w:p w14:paraId="40E01FA6" w14:textId="552FCC98" w:rsidR="00D71B74" w:rsidRPr="00D71B74" w:rsidRDefault="00D71B74">
      <w:pPr>
        <w:pStyle w:val="FootnoteText"/>
        <w:rPr>
          <w:lang w:val="en-US"/>
        </w:rPr>
      </w:pPr>
      <w:r>
        <w:rPr>
          <w:rStyle w:val="FootnoteReference"/>
        </w:rPr>
        <w:footnoteRef/>
      </w:r>
      <w:r w:rsidRPr="00D71B74">
        <w:rPr>
          <w:lang w:val="en-US"/>
        </w:rPr>
        <w:t xml:space="preserve"> ‘COVID-19 and force majeure’, ‘eligibility in affected operations’ and ‘flexibility to adjust affected operations’.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91D7E" w14:textId="77777777" w:rsidR="00E06829" w:rsidRDefault="00E06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BBD7" w14:textId="77777777" w:rsidR="00E06829" w:rsidRDefault="00E068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93947" w14:textId="77777777" w:rsidR="00E06829" w:rsidRDefault="00E06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AC4"/>
    <w:multiLevelType w:val="hybridMultilevel"/>
    <w:tmpl w:val="274C03BC"/>
    <w:lvl w:ilvl="0" w:tplc="08090001">
      <w:start w:val="1"/>
      <w:numFmt w:val="bullet"/>
      <w:lvlText w:val=""/>
      <w:lvlJc w:val="left"/>
      <w:pPr>
        <w:ind w:left="720" w:hanging="360"/>
      </w:pPr>
      <w:rPr>
        <w:rFonts w:ascii="Symbol" w:hAnsi="Symbol" w:hint="default"/>
      </w:rPr>
    </w:lvl>
    <w:lvl w:ilvl="1" w:tplc="FFCAB4C8">
      <w:start w:val="1"/>
      <w:numFmt w:val="bullet"/>
      <w:lvlText w:val="-"/>
      <w:lvlJc w:val="left"/>
      <w:pPr>
        <w:ind w:left="1440" w:hanging="360"/>
      </w:pPr>
      <w:rPr>
        <w:rFonts w:ascii="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A690B"/>
    <w:multiLevelType w:val="hybridMultilevel"/>
    <w:tmpl w:val="BF0A9CB8"/>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15:restartNumberingAfterBreak="0">
    <w:nsid w:val="1B926F95"/>
    <w:multiLevelType w:val="hybridMultilevel"/>
    <w:tmpl w:val="E73C6C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36E71D6"/>
    <w:multiLevelType w:val="hybridMultilevel"/>
    <w:tmpl w:val="D77E7E4E"/>
    <w:lvl w:ilvl="0" w:tplc="B6EAC91C">
      <w:numFmt w:val="bullet"/>
      <w:lvlText w:val="-"/>
      <w:lvlJc w:val="left"/>
      <w:pPr>
        <w:ind w:left="1056" w:hanging="360"/>
      </w:pPr>
      <w:rPr>
        <w:rFonts w:ascii="Times New Roman" w:eastAsia="Calibri" w:hAnsi="Times New Roman" w:cs="Times New Roman" w:hint="default"/>
      </w:rPr>
    </w:lvl>
    <w:lvl w:ilvl="1" w:tplc="080C0003">
      <w:start w:val="1"/>
      <w:numFmt w:val="bullet"/>
      <w:lvlText w:val="o"/>
      <w:lvlJc w:val="left"/>
      <w:pPr>
        <w:ind w:left="1776" w:hanging="360"/>
      </w:pPr>
      <w:rPr>
        <w:rFonts w:ascii="Courier New" w:hAnsi="Courier New" w:cs="Courier New" w:hint="default"/>
      </w:rPr>
    </w:lvl>
    <w:lvl w:ilvl="2" w:tplc="080C0005">
      <w:start w:val="1"/>
      <w:numFmt w:val="bullet"/>
      <w:lvlText w:val=""/>
      <w:lvlJc w:val="left"/>
      <w:pPr>
        <w:ind w:left="2496" w:hanging="360"/>
      </w:pPr>
      <w:rPr>
        <w:rFonts w:ascii="Wingdings" w:hAnsi="Wingdings" w:hint="default"/>
      </w:rPr>
    </w:lvl>
    <w:lvl w:ilvl="3" w:tplc="080C0001">
      <w:start w:val="1"/>
      <w:numFmt w:val="bullet"/>
      <w:lvlText w:val=""/>
      <w:lvlJc w:val="left"/>
      <w:pPr>
        <w:ind w:left="3216" w:hanging="360"/>
      </w:pPr>
      <w:rPr>
        <w:rFonts w:ascii="Symbol" w:hAnsi="Symbol" w:hint="default"/>
      </w:rPr>
    </w:lvl>
    <w:lvl w:ilvl="4" w:tplc="080C0003">
      <w:start w:val="1"/>
      <w:numFmt w:val="bullet"/>
      <w:lvlText w:val="o"/>
      <w:lvlJc w:val="left"/>
      <w:pPr>
        <w:ind w:left="3936" w:hanging="360"/>
      </w:pPr>
      <w:rPr>
        <w:rFonts w:ascii="Courier New" w:hAnsi="Courier New" w:cs="Courier New" w:hint="default"/>
      </w:rPr>
    </w:lvl>
    <w:lvl w:ilvl="5" w:tplc="080C0005">
      <w:start w:val="1"/>
      <w:numFmt w:val="bullet"/>
      <w:lvlText w:val=""/>
      <w:lvlJc w:val="left"/>
      <w:pPr>
        <w:ind w:left="4656" w:hanging="360"/>
      </w:pPr>
      <w:rPr>
        <w:rFonts w:ascii="Wingdings" w:hAnsi="Wingdings" w:hint="default"/>
      </w:rPr>
    </w:lvl>
    <w:lvl w:ilvl="6" w:tplc="080C0001">
      <w:start w:val="1"/>
      <w:numFmt w:val="bullet"/>
      <w:lvlText w:val=""/>
      <w:lvlJc w:val="left"/>
      <w:pPr>
        <w:ind w:left="5376" w:hanging="360"/>
      </w:pPr>
      <w:rPr>
        <w:rFonts w:ascii="Symbol" w:hAnsi="Symbol" w:hint="default"/>
      </w:rPr>
    </w:lvl>
    <w:lvl w:ilvl="7" w:tplc="080C0003">
      <w:start w:val="1"/>
      <w:numFmt w:val="bullet"/>
      <w:lvlText w:val="o"/>
      <w:lvlJc w:val="left"/>
      <w:pPr>
        <w:ind w:left="6096" w:hanging="360"/>
      </w:pPr>
      <w:rPr>
        <w:rFonts w:ascii="Courier New" w:hAnsi="Courier New" w:cs="Courier New" w:hint="default"/>
      </w:rPr>
    </w:lvl>
    <w:lvl w:ilvl="8" w:tplc="080C0005">
      <w:start w:val="1"/>
      <w:numFmt w:val="bullet"/>
      <w:lvlText w:val=""/>
      <w:lvlJc w:val="left"/>
      <w:pPr>
        <w:ind w:left="6816" w:hanging="360"/>
      </w:pPr>
      <w:rPr>
        <w:rFonts w:ascii="Wingdings" w:hAnsi="Wingdings" w:hint="default"/>
      </w:rPr>
    </w:lvl>
  </w:abstractNum>
  <w:abstractNum w:abstractNumId="4" w15:restartNumberingAfterBreak="0">
    <w:nsid w:val="296A03C8"/>
    <w:multiLevelType w:val="hybridMultilevel"/>
    <w:tmpl w:val="109ED8C0"/>
    <w:lvl w:ilvl="0" w:tplc="080C0017">
      <w:start w:val="1"/>
      <w:numFmt w:val="lowerLetter"/>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5" w15:restartNumberingAfterBreak="0">
    <w:nsid w:val="2EFB2124"/>
    <w:multiLevelType w:val="hybridMultilevel"/>
    <w:tmpl w:val="189EA5C6"/>
    <w:lvl w:ilvl="0" w:tplc="080C0017">
      <w:start w:val="1"/>
      <w:numFmt w:val="lowerLetter"/>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34DC083E"/>
    <w:multiLevelType w:val="hybridMultilevel"/>
    <w:tmpl w:val="7AD478C6"/>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 w15:restartNumberingAfterBreak="0">
    <w:nsid w:val="390D6EC3"/>
    <w:multiLevelType w:val="hybridMultilevel"/>
    <w:tmpl w:val="189EA5C6"/>
    <w:lvl w:ilvl="0" w:tplc="080C0017">
      <w:start w:val="1"/>
      <w:numFmt w:val="lowerLetter"/>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3CDB5502"/>
    <w:multiLevelType w:val="hybridMultilevel"/>
    <w:tmpl w:val="A596D7AC"/>
    <w:lvl w:ilvl="0" w:tplc="7C928D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861D43"/>
    <w:multiLevelType w:val="hybridMultilevel"/>
    <w:tmpl w:val="A1BE770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636"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BF57712"/>
    <w:multiLevelType w:val="hybridMultilevel"/>
    <w:tmpl w:val="AC408860"/>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1" w15:restartNumberingAfterBreak="0">
    <w:nsid w:val="7A236553"/>
    <w:multiLevelType w:val="hybridMultilevel"/>
    <w:tmpl w:val="B016EA9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B6B84"/>
    <w:rsid w:val="00056CB6"/>
    <w:rsid w:val="000B7485"/>
    <w:rsid w:val="000C61F1"/>
    <w:rsid w:val="000D5010"/>
    <w:rsid w:val="000F6CCC"/>
    <w:rsid w:val="001804F3"/>
    <w:rsid w:val="001909F6"/>
    <w:rsid w:val="0026211A"/>
    <w:rsid w:val="0026673C"/>
    <w:rsid w:val="002A4A4B"/>
    <w:rsid w:val="002B7835"/>
    <w:rsid w:val="002D3208"/>
    <w:rsid w:val="003226F4"/>
    <w:rsid w:val="00335386"/>
    <w:rsid w:val="00336963"/>
    <w:rsid w:val="0034650B"/>
    <w:rsid w:val="003866AD"/>
    <w:rsid w:val="003C09E0"/>
    <w:rsid w:val="0040454B"/>
    <w:rsid w:val="0042314A"/>
    <w:rsid w:val="00453D60"/>
    <w:rsid w:val="0059697A"/>
    <w:rsid w:val="005C3679"/>
    <w:rsid w:val="005F3FD9"/>
    <w:rsid w:val="005F7396"/>
    <w:rsid w:val="00681E88"/>
    <w:rsid w:val="006D5969"/>
    <w:rsid w:val="006F4C5B"/>
    <w:rsid w:val="00712359"/>
    <w:rsid w:val="007214A6"/>
    <w:rsid w:val="00727CA2"/>
    <w:rsid w:val="00751915"/>
    <w:rsid w:val="00784F62"/>
    <w:rsid w:val="007A70E1"/>
    <w:rsid w:val="007E11C7"/>
    <w:rsid w:val="008037AE"/>
    <w:rsid w:val="008222BF"/>
    <w:rsid w:val="0082251A"/>
    <w:rsid w:val="008327C6"/>
    <w:rsid w:val="00877FF4"/>
    <w:rsid w:val="008844F7"/>
    <w:rsid w:val="00965DA7"/>
    <w:rsid w:val="009B233D"/>
    <w:rsid w:val="009F22B2"/>
    <w:rsid w:val="00A42FD0"/>
    <w:rsid w:val="00A674C6"/>
    <w:rsid w:val="00AB6B84"/>
    <w:rsid w:val="00AD3627"/>
    <w:rsid w:val="00AF6E86"/>
    <w:rsid w:val="00B00F64"/>
    <w:rsid w:val="00B93CF7"/>
    <w:rsid w:val="00BB4AC2"/>
    <w:rsid w:val="00C2260C"/>
    <w:rsid w:val="00D02274"/>
    <w:rsid w:val="00D71B74"/>
    <w:rsid w:val="00D759E2"/>
    <w:rsid w:val="00DE11D0"/>
    <w:rsid w:val="00DE3A4E"/>
    <w:rsid w:val="00DF47B3"/>
    <w:rsid w:val="00E06829"/>
    <w:rsid w:val="00EB0C7B"/>
    <w:rsid w:val="00EC20BA"/>
    <w:rsid w:val="00F00828"/>
    <w:rsid w:val="00F27B8C"/>
    <w:rsid w:val="00FA04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51CB93"/>
  <w15:chartTrackingRefBased/>
  <w15:docId w15:val="{60BE55B8-93AF-4374-AE04-1FED5A33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B84"/>
    <w:pPr>
      <w:spacing w:after="0" w:line="240" w:lineRule="auto"/>
    </w:pPr>
    <w:rPr>
      <w:rFonts w:ascii="Calibri" w:hAnsi="Calibri" w:cs="Calibri"/>
      <w:lang w:val="nl-BE"/>
    </w:rPr>
  </w:style>
  <w:style w:type="paragraph" w:styleId="Heading2">
    <w:name w:val="heading 2"/>
    <w:basedOn w:val="Normal"/>
    <w:link w:val="Heading2Char"/>
    <w:uiPriority w:val="9"/>
    <w:qFormat/>
    <w:rsid w:val="0082251A"/>
    <w:pPr>
      <w:spacing w:before="100" w:beforeAutospacing="1" w:after="100" w:afterAutospacing="1"/>
      <w:outlineLvl w:val="1"/>
    </w:pPr>
    <w:rPr>
      <w:rFonts w:ascii="Times New Roman" w:eastAsia="Times New Roman" w:hAnsi="Times New Roman" w:cs="Times New Roman"/>
      <w:b/>
      <w:bCs/>
      <w:sz w:val="36"/>
      <w:szCs w:val="36"/>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7FF4"/>
    <w:rPr>
      <w:sz w:val="16"/>
      <w:szCs w:val="16"/>
    </w:rPr>
  </w:style>
  <w:style w:type="paragraph" w:styleId="CommentText">
    <w:name w:val="annotation text"/>
    <w:basedOn w:val="Normal"/>
    <w:link w:val="CommentTextChar"/>
    <w:uiPriority w:val="99"/>
    <w:semiHidden/>
    <w:unhideWhenUsed/>
    <w:rsid w:val="00877FF4"/>
    <w:rPr>
      <w:sz w:val="20"/>
      <w:szCs w:val="20"/>
    </w:rPr>
  </w:style>
  <w:style w:type="character" w:customStyle="1" w:styleId="CommentTextChar">
    <w:name w:val="Comment Text Char"/>
    <w:basedOn w:val="DefaultParagraphFont"/>
    <w:link w:val="CommentText"/>
    <w:uiPriority w:val="99"/>
    <w:semiHidden/>
    <w:rsid w:val="00877FF4"/>
    <w:rPr>
      <w:rFonts w:ascii="Calibri" w:hAnsi="Calibri" w:cs="Calibri"/>
      <w:sz w:val="20"/>
      <w:szCs w:val="20"/>
      <w:lang w:val="nl-BE"/>
    </w:rPr>
  </w:style>
  <w:style w:type="paragraph" w:styleId="CommentSubject">
    <w:name w:val="annotation subject"/>
    <w:basedOn w:val="CommentText"/>
    <w:next w:val="CommentText"/>
    <w:link w:val="CommentSubjectChar"/>
    <w:uiPriority w:val="99"/>
    <w:semiHidden/>
    <w:unhideWhenUsed/>
    <w:rsid w:val="00877FF4"/>
    <w:rPr>
      <w:b/>
      <w:bCs/>
    </w:rPr>
  </w:style>
  <w:style w:type="character" w:customStyle="1" w:styleId="CommentSubjectChar">
    <w:name w:val="Comment Subject Char"/>
    <w:basedOn w:val="CommentTextChar"/>
    <w:link w:val="CommentSubject"/>
    <w:uiPriority w:val="99"/>
    <w:semiHidden/>
    <w:rsid w:val="00877FF4"/>
    <w:rPr>
      <w:rFonts w:ascii="Calibri" w:hAnsi="Calibri" w:cs="Calibri"/>
      <w:b/>
      <w:bCs/>
      <w:sz w:val="20"/>
      <w:szCs w:val="20"/>
      <w:lang w:val="nl-BE"/>
    </w:rPr>
  </w:style>
  <w:style w:type="paragraph" w:styleId="BalloonText">
    <w:name w:val="Balloon Text"/>
    <w:basedOn w:val="Normal"/>
    <w:link w:val="BalloonTextChar"/>
    <w:uiPriority w:val="99"/>
    <w:semiHidden/>
    <w:unhideWhenUsed/>
    <w:rsid w:val="00877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FF4"/>
    <w:rPr>
      <w:rFonts w:ascii="Segoe UI" w:hAnsi="Segoe UI" w:cs="Segoe UI"/>
      <w:sz w:val="18"/>
      <w:szCs w:val="18"/>
      <w:lang w:val="nl-BE"/>
    </w:rPr>
  </w:style>
  <w:style w:type="character" w:styleId="Hyperlink">
    <w:name w:val="Hyperlink"/>
    <w:basedOn w:val="DefaultParagraphFont"/>
    <w:uiPriority w:val="99"/>
    <w:unhideWhenUsed/>
    <w:rsid w:val="00DE3A4E"/>
    <w:rPr>
      <w:color w:val="0563C1" w:themeColor="hyperlink"/>
      <w:u w:val="single"/>
    </w:rPr>
  </w:style>
  <w:style w:type="character" w:styleId="FollowedHyperlink">
    <w:name w:val="FollowedHyperlink"/>
    <w:basedOn w:val="DefaultParagraphFont"/>
    <w:uiPriority w:val="99"/>
    <w:semiHidden/>
    <w:unhideWhenUsed/>
    <w:rsid w:val="00DE3A4E"/>
    <w:rPr>
      <w:color w:val="954F72" w:themeColor="followedHyperlink"/>
      <w:u w:val="single"/>
    </w:rPr>
  </w:style>
  <w:style w:type="paragraph" w:styleId="NormalWeb">
    <w:name w:val="Normal (Web)"/>
    <w:basedOn w:val="Normal"/>
    <w:uiPriority w:val="99"/>
    <w:unhideWhenUsed/>
    <w:rsid w:val="002A4A4B"/>
    <w:rPr>
      <w:rFonts w:ascii="Times New Roman" w:hAnsi="Times New Roman" w:cs="Times New Roman"/>
      <w:sz w:val="24"/>
      <w:szCs w:val="24"/>
      <w:lang w:val="fr" w:eastAsia="en-GB"/>
    </w:rPr>
  </w:style>
  <w:style w:type="paragraph" w:customStyle="1" w:styleId="xmsonormal">
    <w:name w:val="x_msonormal"/>
    <w:basedOn w:val="Normal"/>
    <w:rsid w:val="00712359"/>
    <w:pPr>
      <w:spacing w:before="100" w:beforeAutospacing="1" w:after="100" w:afterAutospacing="1"/>
    </w:pPr>
    <w:rPr>
      <w:rFonts w:ascii="Times New Roman" w:eastAsia="Times New Roman" w:hAnsi="Times New Roman" w:cs="Times New Roman"/>
      <w:sz w:val="24"/>
      <w:szCs w:val="24"/>
      <w:lang w:eastAsia="nl-BE"/>
    </w:rPr>
  </w:style>
  <w:style w:type="character" w:customStyle="1" w:styleId="expand-control-text">
    <w:name w:val="expand-control-text"/>
    <w:basedOn w:val="DefaultParagraphFont"/>
    <w:rsid w:val="0082251A"/>
  </w:style>
  <w:style w:type="paragraph" w:styleId="FootnoteText">
    <w:name w:val="footnote text"/>
    <w:basedOn w:val="Normal"/>
    <w:link w:val="FootnoteTextChar"/>
    <w:uiPriority w:val="99"/>
    <w:semiHidden/>
    <w:rsid w:val="0082251A"/>
    <w:pPr>
      <w:spacing w:after="240"/>
      <w:ind w:left="357" w:hanging="357"/>
      <w:jc w:val="both"/>
    </w:pPr>
    <w:rPr>
      <w:rFonts w:ascii="Times New Roman" w:eastAsia="Times New Roman" w:hAnsi="Times New Roman" w:cs="Times New Roman"/>
      <w:sz w:val="20"/>
      <w:szCs w:val="20"/>
      <w:lang w:val="fr"/>
    </w:rPr>
  </w:style>
  <w:style w:type="character" w:customStyle="1" w:styleId="FootnoteTextChar">
    <w:name w:val="Footnote Text Char"/>
    <w:basedOn w:val="DefaultParagraphFont"/>
    <w:link w:val="FootnoteText"/>
    <w:uiPriority w:val="99"/>
    <w:semiHidden/>
    <w:rsid w:val="0082251A"/>
    <w:rPr>
      <w:rFonts w:ascii="Times New Roman" w:eastAsia="Times New Roman" w:hAnsi="Times New Roman" w:cs="Times New Roman"/>
      <w:sz w:val="20"/>
      <w:szCs w:val="20"/>
      <w:lang w:val="fr"/>
    </w:rPr>
  </w:style>
  <w:style w:type="character" w:styleId="FootnoteReference">
    <w:name w:val="footnote reference"/>
    <w:semiHidden/>
    <w:rsid w:val="0082251A"/>
    <w:rPr>
      <w:rFonts w:ascii="TimesNewRomanPS" w:hAnsi="TimesNewRomanPS"/>
      <w:position w:val="6"/>
      <w:sz w:val="16"/>
    </w:rPr>
  </w:style>
  <w:style w:type="character" w:customStyle="1" w:styleId="Heading2Char">
    <w:name w:val="Heading 2 Char"/>
    <w:basedOn w:val="DefaultParagraphFont"/>
    <w:link w:val="Heading2"/>
    <w:uiPriority w:val="9"/>
    <w:rsid w:val="0082251A"/>
    <w:rPr>
      <w:rFonts w:ascii="Times New Roman" w:eastAsia="Times New Roman" w:hAnsi="Times New Roman" w:cs="Times New Roman"/>
      <w:b/>
      <w:bCs/>
      <w:sz w:val="36"/>
      <w:szCs w:val="36"/>
      <w:lang w:eastAsia="fr-BE"/>
    </w:rPr>
  </w:style>
  <w:style w:type="character" w:styleId="Strong">
    <w:name w:val="Strong"/>
    <w:basedOn w:val="DefaultParagraphFont"/>
    <w:uiPriority w:val="22"/>
    <w:qFormat/>
    <w:rsid w:val="0082251A"/>
    <w:rPr>
      <w:b/>
      <w:bCs/>
    </w:rPr>
  </w:style>
  <w:style w:type="paragraph" w:customStyle="1" w:styleId="Point1">
    <w:name w:val="Point 1"/>
    <w:basedOn w:val="Normal"/>
    <w:rsid w:val="000C61F1"/>
    <w:pPr>
      <w:spacing w:before="120" w:after="120"/>
      <w:ind w:left="1417" w:hanging="567"/>
      <w:jc w:val="both"/>
    </w:pPr>
    <w:rPr>
      <w:rFonts w:ascii="Times New Roman" w:hAnsi="Times New Roman" w:cs="Times New Roman"/>
      <w:sz w:val="24"/>
      <w:lang w:val="fr"/>
    </w:rPr>
  </w:style>
  <w:style w:type="paragraph" w:customStyle="1" w:styleId="Text2">
    <w:name w:val="Text 2"/>
    <w:basedOn w:val="Normal"/>
    <w:rsid w:val="000C61F1"/>
    <w:pPr>
      <w:spacing w:before="120" w:after="120"/>
      <w:ind w:left="1417"/>
      <w:jc w:val="both"/>
    </w:pPr>
    <w:rPr>
      <w:rFonts w:ascii="Times New Roman" w:hAnsi="Times New Roman" w:cs="Times New Roman"/>
      <w:sz w:val="24"/>
      <w:lang w:val="fr"/>
    </w:rPr>
  </w:style>
  <w:style w:type="paragraph" w:styleId="ListParagraph">
    <w:name w:val="List Paragraph"/>
    <w:basedOn w:val="Normal"/>
    <w:qFormat/>
    <w:rsid w:val="009F22B2"/>
    <w:pPr>
      <w:spacing w:after="240"/>
      <w:ind w:left="720"/>
      <w:contextualSpacing/>
      <w:jc w:val="both"/>
    </w:pPr>
    <w:rPr>
      <w:rFonts w:ascii="Times New Roman" w:eastAsia="Times New Roman" w:hAnsi="Times New Roman" w:cs="Times New Roman"/>
      <w:sz w:val="24"/>
      <w:szCs w:val="20"/>
      <w:lang w:val="fr" w:eastAsia="fr-BE"/>
    </w:rPr>
  </w:style>
  <w:style w:type="paragraph" w:styleId="Header">
    <w:name w:val="header"/>
    <w:basedOn w:val="Normal"/>
    <w:link w:val="HeaderChar"/>
    <w:uiPriority w:val="99"/>
    <w:unhideWhenUsed/>
    <w:rsid w:val="00DE11D0"/>
    <w:pPr>
      <w:tabs>
        <w:tab w:val="center" w:pos="4680"/>
        <w:tab w:val="right" w:pos="9360"/>
      </w:tabs>
    </w:pPr>
  </w:style>
  <w:style w:type="character" w:customStyle="1" w:styleId="HeaderChar">
    <w:name w:val="Header Char"/>
    <w:basedOn w:val="DefaultParagraphFont"/>
    <w:link w:val="Header"/>
    <w:uiPriority w:val="99"/>
    <w:rsid w:val="00DE11D0"/>
    <w:rPr>
      <w:rFonts w:ascii="Calibri" w:hAnsi="Calibri" w:cs="Calibri"/>
      <w:lang w:val="nl-BE"/>
    </w:rPr>
  </w:style>
  <w:style w:type="paragraph" w:styleId="Footer">
    <w:name w:val="footer"/>
    <w:basedOn w:val="Normal"/>
    <w:link w:val="FooterChar"/>
    <w:uiPriority w:val="99"/>
    <w:unhideWhenUsed/>
    <w:rsid w:val="00DE11D0"/>
    <w:pPr>
      <w:tabs>
        <w:tab w:val="center" w:pos="4680"/>
        <w:tab w:val="right" w:pos="9360"/>
      </w:tabs>
    </w:pPr>
  </w:style>
  <w:style w:type="character" w:customStyle="1" w:styleId="FooterChar">
    <w:name w:val="Footer Char"/>
    <w:basedOn w:val="DefaultParagraphFont"/>
    <w:link w:val="Footer"/>
    <w:uiPriority w:val="99"/>
    <w:rsid w:val="00DE11D0"/>
    <w:rPr>
      <w:rFonts w:ascii="Calibri" w:hAnsi="Calibri" w:cs="Calibri"/>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8860">
      <w:bodyDiv w:val="1"/>
      <w:marLeft w:val="0"/>
      <w:marRight w:val="0"/>
      <w:marTop w:val="0"/>
      <w:marBottom w:val="0"/>
      <w:divBdr>
        <w:top w:val="none" w:sz="0" w:space="0" w:color="auto"/>
        <w:left w:val="none" w:sz="0" w:space="0" w:color="auto"/>
        <w:bottom w:val="none" w:sz="0" w:space="0" w:color="auto"/>
        <w:right w:val="none" w:sz="0" w:space="0" w:color="auto"/>
      </w:divBdr>
    </w:div>
    <w:div w:id="289361777">
      <w:bodyDiv w:val="1"/>
      <w:marLeft w:val="0"/>
      <w:marRight w:val="0"/>
      <w:marTop w:val="0"/>
      <w:marBottom w:val="0"/>
      <w:divBdr>
        <w:top w:val="none" w:sz="0" w:space="0" w:color="auto"/>
        <w:left w:val="none" w:sz="0" w:space="0" w:color="auto"/>
        <w:bottom w:val="none" w:sz="0" w:space="0" w:color="auto"/>
        <w:right w:val="none" w:sz="0" w:space="0" w:color="auto"/>
      </w:divBdr>
    </w:div>
    <w:div w:id="1068651741">
      <w:bodyDiv w:val="1"/>
      <w:marLeft w:val="0"/>
      <w:marRight w:val="0"/>
      <w:marTop w:val="0"/>
      <w:marBottom w:val="0"/>
      <w:divBdr>
        <w:top w:val="none" w:sz="0" w:space="0" w:color="auto"/>
        <w:left w:val="none" w:sz="0" w:space="0" w:color="auto"/>
        <w:bottom w:val="none" w:sz="0" w:space="0" w:color="auto"/>
        <w:right w:val="none" w:sz="0" w:space="0" w:color="auto"/>
      </w:divBdr>
    </w:div>
    <w:div w:id="1534414843">
      <w:bodyDiv w:val="1"/>
      <w:marLeft w:val="0"/>
      <w:marRight w:val="0"/>
      <w:marTop w:val="0"/>
      <w:marBottom w:val="0"/>
      <w:divBdr>
        <w:top w:val="none" w:sz="0" w:space="0" w:color="auto"/>
        <w:left w:val="none" w:sz="0" w:space="0" w:color="auto"/>
        <w:bottom w:val="none" w:sz="0" w:space="0" w:color="auto"/>
        <w:right w:val="none" w:sz="0" w:space="0" w:color="auto"/>
      </w:divBdr>
    </w:div>
    <w:div w:id="188995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fpfis/wikis/pages/viewpage.action?pageId=46966393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gate.ec.europa.eu/fpfis/wikis/pages/viewpage.action?pageId=46966393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fpfis/wikis/pages/viewpage.action?pageId=46966393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919CF-0D86-4C49-AD0E-00DC4C3F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1503</Words>
  <Characters>8147</Characters>
  <Application>Microsoft Office Word</Application>
  <DocSecurity>0</DocSecurity>
  <Lines>153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Louise (EMPL)</dc:creator>
  <cp:keywords/>
  <dc:description/>
  <cp:lastModifiedBy>CONTE Luciano (EMPL)</cp:lastModifiedBy>
  <cp:revision>5</cp:revision>
  <dcterms:created xsi:type="dcterms:W3CDTF">2020-04-14T11:31:00Z</dcterms:created>
  <dcterms:modified xsi:type="dcterms:W3CDTF">2020-04-14T11:40:00Z</dcterms:modified>
</cp:coreProperties>
</file>